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2326B">
      <w:pPr>
        <w:rPr>
          <w:rFonts w:ascii="Arial" w:hAnsi="Arial" w:cs="Arial"/>
        </w:rPr>
      </w:pPr>
    </w:p>
    <w:p w:rsidR="0082326B" w:rsidRDefault="0082326B" w:rsidP="0082326B">
      <w:pPr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MS Gothic" w:eastAsia="MS Gothic" w:hAnsi="MS Gothic" w:cs="MS Gothic" w:hint="eastAsia"/>
          <w:b/>
        </w:rPr>
        <w:t>本地的受害者服</w:t>
      </w:r>
      <w:r>
        <w:rPr>
          <w:rFonts w:ascii="Microsoft JhengHei" w:eastAsia="Microsoft JhengHei" w:hAnsi="Microsoft JhengHei" w:cs="Microsoft JhengHei" w:hint="eastAsia"/>
          <w:b/>
        </w:rPr>
        <w:t>务机构</w:t>
      </w:r>
      <w:proofErr w:type="spellEnd"/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82326B" w:rsidRDefault="0082326B" w:rsidP="00823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</w:rPr>
              <w:t>针对性虐待儿童受害者的服务</w:t>
            </w:r>
            <w:proofErr w:type="spellEnd"/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82326B" w:rsidRDefault="0082326B" w:rsidP="00823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</w:rPr>
              <w:t>针对性侵犯成人受害者的服务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82326B" w:rsidRDefault="0082326B" w:rsidP="00823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</w:rPr>
              <w:t>针对家庭暴力受害者的服务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82326B" w:rsidRDefault="0082326B" w:rsidP="00823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</w:rPr>
              <w:t>针对虐待老人受害者的服务</w:t>
            </w:r>
            <w:proofErr w:type="spellEnd"/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</w:t>
            </w:r>
            <w:bookmarkStart w:id="0" w:name="_GoBack"/>
            <w:bookmarkEnd w:id="0"/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82326B" w:rsidRDefault="0082326B" w:rsidP="00823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</w:rPr>
              <w:t>针对存在智力残疾受害者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MS Gothic" w:eastAsia="MS Gothic" w:hAnsi="MS Gothic" w:cs="MS Gothic" w:hint="eastAsia"/>
                <w:b/>
              </w:rPr>
              <w:t>无生活自理能力成人的服</w:t>
            </w:r>
            <w:r>
              <w:rPr>
                <w:rFonts w:ascii="Microsoft JhengHei" w:eastAsia="Microsoft JhengHei" w:hAnsi="Microsoft JhengHei" w:cs="Microsoft JhengHei" w:hint="eastAsia"/>
                <w:b/>
              </w:rPr>
              <w:t>务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82326B" w:rsidRDefault="0082326B" w:rsidP="00823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MS Gothic" w:eastAsia="MS Gothic" w:hAnsi="MS Gothic" w:cs="MS Gothic" w:hint="eastAsia"/>
                <w:b/>
              </w:rPr>
              <w:t>其他受害者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</w:rPr>
              <w:t>证人援助计划</w:t>
            </w:r>
            <w:proofErr w:type="spellEnd"/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076ED8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97AB3"/>
    <w:rsid w:val="004C0BEC"/>
    <w:rsid w:val="004C18C8"/>
    <w:rsid w:val="0052412B"/>
    <w:rsid w:val="0063168E"/>
    <w:rsid w:val="0063411E"/>
    <w:rsid w:val="00797851"/>
    <w:rsid w:val="007D0C0B"/>
    <w:rsid w:val="0082326B"/>
    <w:rsid w:val="0083115E"/>
    <w:rsid w:val="008C0543"/>
    <w:rsid w:val="008E38C2"/>
    <w:rsid w:val="0091515B"/>
    <w:rsid w:val="009B1CFD"/>
    <w:rsid w:val="00A14C71"/>
    <w:rsid w:val="00A61D15"/>
    <w:rsid w:val="00A759F3"/>
    <w:rsid w:val="00B11212"/>
    <w:rsid w:val="00BB46E4"/>
    <w:rsid w:val="00CC1B7C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2017-09-08T13:20:00Z</cp:lastPrinted>
  <dcterms:created xsi:type="dcterms:W3CDTF">2017-09-08T13:28:00Z</dcterms:created>
  <dcterms:modified xsi:type="dcterms:W3CDTF">2017-09-08T13:32:00Z</dcterms:modified>
</cp:coreProperties>
</file>