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Default="00567690" w:rsidP="00112B77">
      <w:pPr>
        <w:spacing w:after="0" w:line="240" w:lineRule="auto"/>
        <w:jc w:val="center"/>
      </w:pPr>
      <w:r w:rsidRPr="00BB3C2B">
        <w:rPr>
          <w:rFonts w:ascii="Arial" w:hAnsi="Arial" w:cs="Arial"/>
          <w:noProof/>
          <w:sz w:val="24"/>
          <w:szCs w:val="24"/>
          <w:lang w:bidi="km-KH"/>
        </w:rPr>
        <w:drawing>
          <wp:inline distT="0" distB="0" distL="0" distR="0" wp14:anchorId="15EC34C5" wp14:editId="21B1365F">
            <wp:extent cx="2106816" cy="74597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246521" cy="795439"/>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09"/>
      </w:tblGrid>
      <w:tr w:rsidR="00596BEB" w:rsidRPr="00596BEB" w:rsidTr="00112B77">
        <w:trPr>
          <w:trHeight w:val="8550"/>
        </w:trPr>
        <w:tc>
          <w:tcPr>
            <w:tcW w:w="5220" w:type="dxa"/>
          </w:tcPr>
          <w:p w:rsidR="00112B77" w:rsidRPr="00112B77" w:rsidRDefault="00112B77" w:rsidP="00112B77">
            <w:pPr>
              <w:rPr>
                <w:rFonts w:ascii="OpenSans-Regular" w:hAnsi="OpenSans-Regular" w:cs="Arial" w:hint="eastAsia"/>
                <w:b/>
                <w:bCs/>
              </w:rPr>
            </w:pPr>
            <w:proofErr w:type="spellStart"/>
            <w:r w:rsidRPr="00112B77">
              <w:rPr>
                <w:rFonts w:ascii="OpenSans-Regular" w:hAnsi="OpenSans-Regular" w:cs="Arial"/>
                <w:b/>
                <w:bCs/>
                <w:u w:val="single"/>
              </w:rPr>
              <w:t>性犯罪</w:t>
            </w:r>
            <w:proofErr w:type="spellEnd"/>
          </w:p>
          <w:p w:rsidR="00112B77" w:rsidRDefault="00112B77" w:rsidP="00112B77">
            <w:pPr>
              <w:rPr>
                <w:rFonts w:ascii="OpenSans-Regular" w:hAnsi="OpenSans-Regular" w:cs="Arial" w:hint="eastAsia"/>
              </w:rPr>
            </w:pPr>
            <w:proofErr w:type="spellStart"/>
            <w:r>
              <w:rPr>
                <w:rFonts w:ascii="OpenSans-Regular" w:hAnsi="OpenSans-Regular" w:cs="Arial"/>
              </w:rPr>
              <w:t>宾夕法尼亚州法律认定各类性犯罪</w:t>
            </w:r>
            <w:proofErr w:type="spellEnd"/>
            <w:r>
              <w:rPr>
                <w:rFonts w:ascii="OpenSans-Regular" w:hAnsi="OpenSans-Regular" w:cs="Arial"/>
              </w:rPr>
              <w:t>。</w:t>
            </w:r>
            <w:r>
              <w:rPr>
                <w:rFonts w:ascii="OpenSans-Regular" w:hAnsi="OpenSans-Regular" w:cs="Arial"/>
              </w:rPr>
              <w:t xml:space="preserve">  </w:t>
            </w:r>
            <w:proofErr w:type="spellStart"/>
            <w:r>
              <w:rPr>
                <w:rFonts w:ascii="OpenSans-Regular" w:hAnsi="OpenSans-Regular" w:cs="Arial"/>
              </w:rPr>
              <w:t>一些性犯罪涉及进入体内</w:t>
            </w:r>
            <w:proofErr w:type="spellEnd"/>
            <w:r>
              <w:rPr>
                <w:rFonts w:ascii="MS Gothic" w:eastAsia="MS Gothic" w:hAnsi="MS Gothic" w:cs="MS Gothic" w:hint="eastAsia"/>
              </w:rPr>
              <w:t>，</w:t>
            </w:r>
            <w:r>
              <w:rPr>
                <w:rFonts w:ascii="OpenSans-Regular" w:hAnsi="OpenSans-Regular" w:cs="Arial"/>
              </w:rPr>
              <w:t xml:space="preserve"> </w:t>
            </w:r>
            <w:proofErr w:type="spellStart"/>
            <w:r>
              <w:rPr>
                <w:rFonts w:ascii="MS Gothic" w:eastAsia="MS Gothic" w:hAnsi="MS Gothic" w:cs="MS Gothic" w:hint="eastAsia"/>
              </w:rPr>
              <w:t>另一些性犯罪不涉及</w:t>
            </w:r>
            <w:r>
              <w:rPr>
                <w:rFonts w:ascii="Microsoft JhengHei" w:eastAsia="Microsoft JhengHei" w:hAnsi="Microsoft JhengHei" w:cs="Microsoft JhengHei" w:hint="eastAsia"/>
              </w:rPr>
              <w:t>进入体内</w:t>
            </w:r>
            <w:proofErr w:type="spellEnd"/>
            <w:r>
              <w:rPr>
                <w:rFonts w:ascii="OpenSans-Regular" w:hAnsi="OpenSans-Regular" w:cs="Arial"/>
              </w:rPr>
              <w:t>。</w:t>
            </w:r>
          </w:p>
          <w:p w:rsidR="00112B77" w:rsidRDefault="00112B77" w:rsidP="00112B77">
            <w:pPr>
              <w:rPr>
                <w:rFonts w:ascii="OpenSans-Regular" w:hAnsi="OpenSans-Regular" w:cs="Arial"/>
              </w:rPr>
            </w:pPr>
          </w:p>
          <w:p w:rsidR="00112B77" w:rsidRDefault="00112B77" w:rsidP="00112B77">
            <w:pPr>
              <w:rPr>
                <w:rFonts w:ascii="OpenSans-Regular" w:hAnsi="OpenSans-Regular" w:cs="Arial" w:hint="eastAsia"/>
              </w:rPr>
            </w:pPr>
          </w:p>
          <w:p w:rsidR="00112B77" w:rsidRDefault="00112B77" w:rsidP="00112B77">
            <w:pPr>
              <w:rPr>
                <w:rFonts w:ascii="OpenSans-Regular" w:hAnsi="OpenSans-Regular" w:cs="Arial" w:hint="eastAsia"/>
              </w:rPr>
            </w:pPr>
            <w:proofErr w:type="spellStart"/>
            <w:r>
              <w:rPr>
                <w:rFonts w:ascii="OpenSans-Regular" w:hAnsi="OpenSans-Regular" w:cs="Arial"/>
              </w:rPr>
              <w:t>宾夕法尼亚州法律禁止乱伦</w:t>
            </w:r>
            <w:proofErr w:type="spellEnd"/>
            <w:r>
              <w:rPr>
                <w:rFonts w:ascii="OpenSans-Regular" w:hAnsi="OpenSans-Regular" w:cs="Arial"/>
              </w:rPr>
              <w:t>。</w:t>
            </w:r>
            <w:r>
              <w:rPr>
                <w:rFonts w:ascii="OpenSans-Regular" w:hAnsi="OpenSans-Regular" w:cs="Arial"/>
              </w:rPr>
              <w:t xml:space="preserve">  </w:t>
            </w:r>
            <w:proofErr w:type="spellStart"/>
            <w:r>
              <w:rPr>
                <w:rFonts w:ascii="OpenSans-Regular" w:hAnsi="OpenSans-Regular" w:cs="Arial"/>
              </w:rPr>
              <w:t>乱伦是指一个人在知情的情况下与下述任一人士结婚、作为性</w:t>
            </w:r>
            <w:bookmarkStart w:id="0" w:name="_GoBack"/>
            <w:bookmarkEnd w:id="0"/>
            <w:r>
              <w:rPr>
                <w:rFonts w:ascii="OpenSans-Regular" w:hAnsi="OpenSans-Regular" w:cs="Arial"/>
              </w:rPr>
              <w:t>伴侣一起生活、或与其发生性交</w:t>
            </w:r>
            <w:proofErr w:type="spellEnd"/>
            <w:r>
              <w:rPr>
                <w:rFonts w:ascii="OpenSans-Regular" w:hAnsi="OpenSans-Regular" w:cs="Arial"/>
              </w:rPr>
              <w:t>：</w:t>
            </w:r>
          </w:p>
          <w:p w:rsidR="00112B77" w:rsidRDefault="00112B77" w:rsidP="00112B77">
            <w:pPr>
              <w:pStyle w:val="ListParagraph"/>
              <w:numPr>
                <w:ilvl w:val="0"/>
                <w:numId w:val="7"/>
              </w:numPr>
              <w:ind w:left="720"/>
              <w:rPr>
                <w:rFonts w:ascii="OpenSans-Regular" w:hAnsi="OpenSans-Regular" w:cs="Arial" w:hint="eastAsia"/>
              </w:rPr>
            </w:pPr>
            <w:proofErr w:type="spellStart"/>
            <w:r>
              <w:rPr>
                <w:rFonts w:ascii="OpenSans-Regular" w:hAnsi="OpenSans-Regular" w:cs="Arial"/>
              </w:rPr>
              <w:t>先辈（例如，父母、祖父母</w:t>
            </w:r>
            <w:proofErr w:type="spellEnd"/>
            <w:r>
              <w:rPr>
                <w:rFonts w:ascii="OpenSans-Regular" w:hAnsi="OpenSans-Regular" w:cs="Arial"/>
              </w:rPr>
              <w:t>）</w:t>
            </w:r>
          </w:p>
          <w:p w:rsidR="00112B77" w:rsidRDefault="00112B77" w:rsidP="00112B77">
            <w:pPr>
              <w:pStyle w:val="ListParagraph"/>
              <w:numPr>
                <w:ilvl w:val="0"/>
                <w:numId w:val="7"/>
              </w:numPr>
              <w:ind w:left="720"/>
              <w:rPr>
                <w:rFonts w:ascii="OpenSans-Regular" w:hAnsi="OpenSans-Regular" w:cs="Arial" w:hint="eastAsia"/>
              </w:rPr>
            </w:pPr>
            <w:proofErr w:type="spellStart"/>
            <w:r>
              <w:rPr>
                <w:rFonts w:ascii="OpenSans-Regular" w:hAnsi="OpenSans-Regular" w:cs="Arial"/>
              </w:rPr>
              <w:t>后代（例如，孩子、孙子</w:t>
            </w:r>
            <w:proofErr w:type="spellEnd"/>
            <w:r>
              <w:rPr>
                <w:rFonts w:ascii="OpenSans-Regular" w:hAnsi="OpenSans-Regular" w:cs="Arial"/>
              </w:rPr>
              <w:t>）</w:t>
            </w:r>
          </w:p>
          <w:p w:rsidR="00112B77" w:rsidRDefault="00112B77" w:rsidP="00112B77">
            <w:pPr>
              <w:pStyle w:val="ListParagraph"/>
              <w:numPr>
                <w:ilvl w:val="0"/>
                <w:numId w:val="7"/>
              </w:numPr>
              <w:ind w:left="720"/>
              <w:rPr>
                <w:rFonts w:ascii="OpenSans-Regular" w:hAnsi="OpenSans-Regular" w:cs="Arial" w:hint="eastAsia"/>
              </w:rPr>
            </w:pPr>
            <w:proofErr w:type="spellStart"/>
            <w:r>
              <w:rPr>
                <w:rFonts w:ascii="OpenSans-Regular" w:hAnsi="OpenSans-Regular" w:cs="Arial"/>
              </w:rPr>
              <w:t>全血缘的兄弟姐妹（即同父同母）或半血缘的兄弟姐妹（即同父异母或同母异父</w:t>
            </w:r>
            <w:proofErr w:type="spellEnd"/>
            <w:r>
              <w:rPr>
                <w:rFonts w:ascii="OpenSans-Regular" w:hAnsi="OpenSans-Regular" w:cs="Arial"/>
              </w:rPr>
              <w:t>）</w:t>
            </w:r>
          </w:p>
          <w:p w:rsidR="00112B77" w:rsidRDefault="00112B77" w:rsidP="00112B77">
            <w:pPr>
              <w:pStyle w:val="ListParagraph"/>
              <w:numPr>
                <w:ilvl w:val="0"/>
                <w:numId w:val="7"/>
              </w:numPr>
              <w:ind w:left="720"/>
              <w:rPr>
                <w:rFonts w:ascii="OpenSans-Regular" w:hAnsi="OpenSans-Regular" w:cs="Arial" w:hint="eastAsia"/>
              </w:rPr>
            </w:pPr>
            <w:proofErr w:type="spellStart"/>
            <w:r>
              <w:rPr>
                <w:rFonts w:ascii="OpenSans-Regular" w:hAnsi="OpenSans-Regular" w:cs="Arial"/>
              </w:rPr>
              <w:t>全血缘的叔叔、阿姨、侄子或侄女</w:t>
            </w:r>
            <w:proofErr w:type="spellEnd"/>
          </w:p>
          <w:p w:rsidR="00112B77" w:rsidRDefault="00112B77" w:rsidP="00112B77">
            <w:pPr>
              <w:rPr>
                <w:rFonts w:ascii="OpenSans-Regular" w:hAnsi="OpenSans-Regular" w:cs="Arial" w:hint="eastAsia"/>
              </w:rPr>
            </w:pPr>
          </w:p>
          <w:p w:rsidR="00112B77" w:rsidRDefault="00112B77" w:rsidP="00112B77">
            <w:pPr>
              <w:rPr>
                <w:rFonts w:ascii="OpenSans-Regular" w:hAnsi="OpenSans-Regular" w:cs="Arial" w:hint="eastAsia"/>
              </w:rPr>
            </w:pPr>
            <w:proofErr w:type="spellStart"/>
            <w:r>
              <w:rPr>
                <w:rFonts w:ascii="OpenSans-Regular" w:hAnsi="OpenSans-Regular" w:cs="Arial"/>
              </w:rPr>
              <w:t>有下列情形之一的，传播半裸、全裸或发生性行为的图片或视频也是非法的</w:t>
            </w:r>
            <w:proofErr w:type="spellEnd"/>
            <w:r>
              <w:rPr>
                <w:rFonts w:ascii="OpenSans-Regular" w:hAnsi="OpenSans-Regular" w:cs="Arial"/>
              </w:rPr>
              <w:t>：</w:t>
            </w:r>
            <w:r>
              <w:rPr>
                <w:rFonts w:ascii="OpenSans-Regular" w:hAnsi="OpenSans-Regular" w:cs="Arial"/>
              </w:rPr>
              <w:t xml:space="preserve"> </w:t>
            </w:r>
          </w:p>
          <w:p w:rsidR="00112B77" w:rsidRDefault="00112B77" w:rsidP="00112B77">
            <w:pPr>
              <w:pStyle w:val="ListParagraph"/>
              <w:numPr>
                <w:ilvl w:val="0"/>
                <w:numId w:val="8"/>
              </w:numPr>
              <w:ind w:left="720" w:hanging="270"/>
              <w:rPr>
                <w:rFonts w:ascii="OpenSans-Regular" w:hAnsi="OpenSans-Regular" w:cs="Arial" w:hint="eastAsia"/>
              </w:rPr>
            </w:pPr>
            <w:proofErr w:type="spellStart"/>
            <w:r>
              <w:rPr>
                <w:rFonts w:ascii="OpenSans-Regular" w:hAnsi="OpenSans-Regular" w:cs="Arial"/>
              </w:rPr>
              <w:t>拍摄没有得到当事人许可</w:t>
            </w:r>
            <w:proofErr w:type="spellEnd"/>
            <w:r>
              <w:rPr>
                <w:rFonts w:ascii="OpenSans-Regular" w:hAnsi="OpenSans-Regular" w:cs="Arial"/>
              </w:rPr>
              <w:t>。</w:t>
            </w:r>
          </w:p>
          <w:p w:rsidR="00112B77" w:rsidRDefault="00112B77" w:rsidP="00112B77">
            <w:pPr>
              <w:pStyle w:val="ListParagraph"/>
              <w:numPr>
                <w:ilvl w:val="0"/>
                <w:numId w:val="8"/>
              </w:numPr>
              <w:ind w:left="720" w:hanging="270"/>
              <w:rPr>
                <w:rFonts w:ascii="OpenSans-Regular" w:hAnsi="OpenSans-Regular" w:cs="Arial" w:hint="eastAsia"/>
              </w:rPr>
            </w:pPr>
            <w:proofErr w:type="spellStart"/>
            <w:r>
              <w:rPr>
                <w:rFonts w:ascii="OpenSans-Regular" w:hAnsi="OpenSans-Regular" w:cs="Arial"/>
              </w:rPr>
              <w:t>当事人不同意传播</w:t>
            </w:r>
            <w:proofErr w:type="spellEnd"/>
            <w:r>
              <w:rPr>
                <w:rFonts w:ascii="OpenSans-Regular" w:hAnsi="OpenSans-Regular" w:cs="Arial"/>
              </w:rPr>
              <w:t>。</w:t>
            </w:r>
          </w:p>
          <w:p w:rsidR="00112B77" w:rsidRDefault="00112B77" w:rsidP="00112B77">
            <w:pPr>
              <w:pStyle w:val="ListParagraph"/>
              <w:numPr>
                <w:ilvl w:val="0"/>
                <w:numId w:val="8"/>
              </w:numPr>
              <w:ind w:left="720" w:hanging="270"/>
              <w:rPr>
                <w:rFonts w:ascii="OpenSans-Regular" w:hAnsi="OpenSans-Regular" w:cs="Arial" w:hint="eastAsia"/>
              </w:rPr>
            </w:pPr>
            <w:proofErr w:type="spellStart"/>
            <w:r>
              <w:rPr>
                <w:rFonts w:ascii="OpenSans-Regular" w:hAnsi="OpenSans-Regular" w:cs="Arial"/>
              </w:rPr>
              <w:t>传播意图在于骚扰或扰乱当事人</w:t>
            </w:r>
            <w:proofErr w:type="spellEnd"/>
            <w:r>
              <w:rPr>
                <w:rFonts w:ascii="OpenSans-Regular" w:hAnsi="OpenSans-Regular" w:cs="Arial"/>
              </w:rPr>
              <w:t>。</w:t>
            </w:r>
          </w:p>
          <w:p w:rsidR="00112B77" w:rsidRDefault="00112B77" w:rsidP="00112B77">
            <w:pPr>
              <w:pStyle w:val="ListParagraph"/>
              <w:numPr>
                <w:ilvl w:val="0"/>
                <w:numId w:val="8"/>
              </w:numPr>
              <w:ind w:left="720" w:hanging="270"/>
              <w:rPr>
                <w:rFonts w:ascii="OpenSans-Regular" w:hAnsi="OpenSans-Regular" w:cs="Arial" w:hint="eastAsia"/>
              </w:rPr>
            </w:pPr>
            <w:r>
              <w:rPr>
                <w:rFonts w:ascii="OpenSans-Regular" w:hAnsi="OpenSans-Regular" w:cs="Arial"/>
              </w:rPr>
              <w:t>当事人是未成年人（即未满</w:t>
            </w:r>
            <w:r>
              <w:rPr>
                <w:rFonts w:ascii="OpenSans-Regular" w:hAnsi="OpenSans-Regular" w:cs="Arial"/>
              </w:rPr>
              <w:t>18</w:t>
            </w:r>
            <w:r>
              <w:rPr>
                <w:rFonts w:ascii="OpenSans-Regular" w:hAnsi="OpenSans-Regular" w:cs="Arial"/>
              </w:rPr>
              <w:t>岁）。</w:t>
            </w:r>
          </w:p>
          <w:p w:rsidR="00112B77" w:rsidRDefault="00112B77" w:rsidP="00112B77">
            <w:pPr>
              <w:rPr>
                <w:rFonts w:ascii="OpenSans-Regular" w:hAnsi="OpenSans-Regular" w:cs="Arial"/>
              </w:rPr>
            </w:pPr>
          </w:p>
          <w:p w:rsidR="00112B77" w:rsidRDefault="00112B77" w:rsidP="00112B77">
            <w:pPr>
              <w:rPr>
                <w:rFonts w:ascii="OpenSans-Regular" w:hAnsi="OpenSans-Regular" w:cs="Arial"/>
              </w:rPr>
            </w:pPr>
            <w:proofErr w:type="spellStart"/>
            <w:r>
              <w:rPr>
                <w:rFonts w:ascii="OpenSans-Regular" w:hAnsi="OpenSans-Regular" w:cs="Arial"/>
              </w:rPr>
              <w:t>成年人严禁向未成年人发送色情信息、图片或视频</w:t>
            </w:r>
            <w:proofErr w:type="spellEnd"/>
            <w:r>
              <w:rPr>
                <w:rFonts w:ascii="OpenSans-Regular" w:hAnsi="OpenSans-Regular" w:cs="Arial"/>
              </w:rPr>
              <w:t>。</w:t>
            </w:r>
          </w:p>
          <w:p w:rsidR="00112B77" w:rsidRDefault="00112B77" w:rsidP="00112B77">
            <w:pPr>
              <w:rPr>
                <w:rFonts w:ascii="OpenSans-Regular" w:hAnsi="OpenSans-Regular" w:cs="Arial"/>
              </w:rPr>
            </w:pPr>
          </w:p>
          <w:p w:rsidR="00596BEB" w:rsidRPr="00112B77" w:rsidRDefault="00112B77" w:rsidP="00112B77">
            <w:pPr>
              <w:rPr>
                <w:rFonts w:ascii="OpenSans-Regular" w:hAnsi="OpenSans-Regular" w:cs="Arial"/>
              </w:rPr>
            </w:pPr>
            <w:proofErr w:type="spellStart"/>
            <w:r>
              <w:rPr>
                <w:rFonts w:ascii="OpenSans-Regular" w:hAnsi="OpenSans-Regular" w:cs="Arial"/>
              </w:rPr>
              <w:t>未成年人自愿自己拍摄或允许他人拍摄或保存裸体或与性相关的</w:t>
            </w:r>
            <w:r>
              <w:rPr>
                <w:rFonts w:ascii="OpenSans-Regular" w:hAnsi="OpenSans-Regular" w:cs="Arial"/>
              </w:rPr>
              <w:t>“</w:t>
            </w:r>
            <w:r>
              <w:rPr>
                <w:rFonts w:ascii="OpenSans-Regular" w:hAnsi="OpenSans-Regular" w:cs="Arial"/>
              </w:rPr>
              <w:t>自拍</w:t>
            </w:r>
            <w:r>
              <w:rPr>
                <w:rFonts w:ascii="OpenSans-Regular" w:hAnsi="OpenSans-Regular" w:cs="Arial"/>
              </w:rPr>
              <w:t>”</w:t>
            </w:r>
            <w:r>
              <w:rPr>
                <w:rFonts w:ascii="OpenSans-Regular" w:hAnsi="OpenSans-Regular" w:cs="Arial"/>
              </w:rPr>
              <w:t>图片或视频也是非法的</w:t>
            </w:r>
            <w:proofErr w:type="spellEnd"/>
            <w:r>
              <w:rPr>
                <w:rFonts w:ascii="OpenSans-Regular" w:hAnsi="OpenSans-Regular" w:cs="Arial"/>
              </w:rPr>
              <w:t>。</w:t>
            </w:r>
          </w:p>
        </w:tc>
        <w:tc>
          <w:tcPr>
            <w:tcW w:w="5309" w:type="dxa"/>
          </w:tcPr>
          <w:p w:rsidR="00596BEB" w:rsidRPr="00112B77" w:rsidRDefault="00596BEB" w:rsidP="00112B77">
            <w:pPr>
              <w:rPr>
                <w:rFonts w:ascii="Arial" w:hAnsi="Arial" w:cs="Arial"/>
                <w:b/>
                <w:bCs/>
                <w:lang w:val="en"/>
              </w:rPr>
            </w:pPr>
            <w:r w:rsidRPr="00112B77">
              <w:rPr>
                <w:rFonts w:ascii="Arial" w:hAnsi="Arial" w:cs="Arial"/>
                <w:b/>
                <w:bCs/>
                <w:u w:val="single"/>
                <w:lang w:val="en"/>
              </w:rPr>
              <w:t>Sex Crimes</w:t>
            </w:r>
          </w:p>
          <w:p w:rsidR="00596BEB" w:rsidRPr="00112B77" w:rsidRDefault="00596BEB" w:rsidP="00112B77">
            <w:pPr>
              <w:rPr>
                <w:rFonts w:ascii="Arial" w:hAnsi="Arial" w:cs="Arial"/>
                <w:lang w:val="en"/>
              </w:rPr>
            </w:pPr>
            <w:r w:rsidRPr="00112B77">
              <w:rPr>
                <w:rFonts w:ascii="Arial" w:hAnsi="Arial" w:cs="Arial"/>
                <w:lang w:val="en"/>
              </w:rPr>
              <w:t>Pennsylvania law recognizes a variety of sex crimes.  Some sex crimes involve the penetration of a person’s body.  Others do not.</w:t>
            </w:r>
          </w:p>
          <w:p w:rsidR="00596BEB" w:rsidRPr="00112B77" w:rsidRDefault="00596BEB" w:rsidP="00112B77">
            <w:pPr>
              <w:rPr>
                <w:rFonts w:ascii="Arial" w:hAnsi="Arial" w:cs="Arial"/>
                <w:lang w:val="en"/>
              </w:rPr>
            </w:pPr>
          </w:p>
          <w:p w:rsidR="00596BEB" w:rsidRPr="00112B77" w:rsidRDefault="00596BEB" w:rsidP="00112B77">
            <w:pPr>
              <w:rPr>
                <w:rFonts w:ascii="Arial" w:hAnsi="Arial" w:cs="Arial"/>
                <w:lang w:val="en"/>
              </w:rPr>
            </w:pPr>
            <w:r w:rsidRPr="00112B77">
              <w:rPr>
                <w:rFonts w:ascii="Arial" w:hAnsi="Arial" w:cs="Arial"/>
                <w:lang w:val="en"/>
              </w:rPr>
              <w:t>Pennsylvania law prohibits incest.  Incest occurs when a person knowingly marries, lives as a sexual partner, or has sexual intercourse with one of the following:</w:t>
            </w:r>
          </w:p>
          <w:p w:rsidR="00596BEB" w:rsidRPr="00112B77" w:rsidRDefault="00596BEB"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Ancestor (e.g., parent, grandparent)</w:t>
            </w:r>
          </w:p>
          <w:p w:rsidR="00596BEB" w:rsidRPr="00112B77" w:rsidRDefault="00596BEB"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Descendant (e.g., child, grandchild)</w:t>
            </w:r>
          </w:p>
          <w:p w:rsidR="00596BEB" w:rsidRPr="00112B77" w:rsidRDefault="00596BEB"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Whole-blood sibling (i.e. same parents) or half-blood sibling (i.e., one parent the same)</w:t>
            </w:r>
          </w:p>
          <w:p w:rsidR="00596BEB" w:rsidRPr="00112B77" w:rsidRDefault="00596BEB"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Whole-blood uncle, aunt, nephew or niece</w:t>
            </w:r>
          </w:p>
          <w:p w:rsidR="00596BEB" w:rsidRPr="00112B77" w:rsidRDefault="00596BEB" w:rsidP="00112B77">
            <w:pPr>
              <w:rPr>
                <w:rFonts w:ascii="Arial" w:hAnsi="Arial" w:cs="Arial"/>
                <w:lang w:val="en"/>
              </w:rPr>
            </w:pPr>
          </w:p>
          <w:p w:rsidR="00596BEB" w:rsidRPr="00112B77" w:rsidRDefault="00596BEB" w:rsidP="00112B77">
            <w:pPr>
              <w:rPr>
                <w:rFonts w:ascii="Arial" w:hAnsi="Arial" w:cs="Arial"/>
                <w:lang w:val="en"/>
              </w:rPr>
            </w:pPr>
            <w:r w:rsidRPr="00112B77">
              <w:rPr>
                <w:rFonts w:ascii="Arial" w:hAnsi="Arial" w:cs="Arial"/>
                <w:lang w:val="en"/>
              </w:rPr>
              <w:t xml:space="preserve">It is also illegal to distribute pictures or videos that show a person partly undressed, nude, or engaging in sexual behavior if: </w:t>
            </w:r>
          </w:p>
          <w:p w:rsidR="00596BEB" w:rsidRPr="00112B77" w:rsidRDefault="00596BEB"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 xml:space="preserve">It </w:t>
            </w:r>
            <w:proofErr w:type="gramStart"/>
            <w:r w:rsidRPr="00112B77">
              <w:rPr>
                <w:rFonts w:ascii="Arial" w:hAnsi="Arial" w:cs="Arial"/>
                <w:sz w:val="22"/>
                <w:szCs w:val="22"/>
                <w:lang w:val="en"/>
              </w:rPr>
              <w:t>was taken</w:t>
            </w:r>
            <w:proofErr w:type="gramEnd"/>
            <w:r w:rsidRPr="00112B77">
              <w:rPr>
                <w:rFonts w:ascii="Arial" w:hAnsi="Arial" w:cs="Arial"/>
                <w:sz w:val="22"/>
                <w:szCs w:val="22"/>
                <w:lang w:val="en"/>
              </w:rPr>
              <w:t xml:space="preserve"> without the person’s permission.</w:t>
            </w:r>
          </w:p>
          <w:p w:rsidR="00596BEB" w:rsidRPr="00112B77" w:rsidRDefault="00596BEB"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The person did not consent to its distribution.</w:t>
            </w:r>
          </w:p>
          <w:p w:rsidR="00596BEB" w:rsidRPr="00112B77" w:rsidRDefault="00596BEB"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 xml:space="preserve">It </w:t>
            </w:r>
            <w:proofErr w:type="gramStart"/>
            <w:r w:rsidRPr="00112B77">
              <w:rPr>
                <w:rFonts w:ascii="Arial" w:hAnsi="Arial" w:cs="Arial"/>
                <w:sz w:val="22"/>
                <w:szCs w:val="22"/>
                <w:lang w:val="en"/>
              </w:rPr>
              <w:t>was distributed</w:t>
            </w:r>
            <w:proofErr w:type="gramEnd"/>
            <w:r w:rsidRPr="00112B77">
              <w:rPr>
                <w:rFonts w:ascii="Arial" w:hAnsi="Arial" w:cs="Arial"/>
                <w:sz w:val="22"/>
                <w:szCs w:val="22"/>
                <w:lang w:val="en"/>
              </w:rPr>
              <w:t xml:space="preserve"> to harass or upset the person.</w:t>
            </w:r>
          </w:p>
          <w:p w:rsidR="00596BEB" w:rsidRPr="00112B77" w:rsidRDefault="00596BEB"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The person is a minor (i.e., less than 18 years old).</w:t>
            </w:r>
          </w:p>
          <w:p w:rsidR="00CF4E43" w:rsidRPr="00112B77" w:rsidRDefault="00CF4E43" w:rsidP="00112B77">
            <w:pPr>
              <w:rPr>
                <w:rFonts w:ascii="Arial" w:hAnsi="Arial" w:cs="Arial"/>
                <w:lang w:val="en"/>
              </w:rPr>
            </w:pPr>
          </w:p>
          <w:p w:rsidR="00112B77" w:rsidRDefault="00112B77" w:rsidP="00112B77">
            <w:pPr>
              <w:rPr>
                <w:rFonts w:ascii="Arial" w:hAnsi="Arial" w:cs="Arial"/>
                <w:lang w:val="en"/>
              </w:rPr>
            </w:pPr>
          </w:p>
          <w:p w:rsidR="00596BEB" w:rsidRPr="00112B77" w:rsidRDefault="00596BEB" w:rsidP="00112B77">
            <w:pPr>
              <w:rPr>
                <w:rFonts w:ascii="Arial" w:hAnsi="Arial" w:cs="Arial"/>
                <w:lang w:val="en"/>
              </w:rPr>
            </w:pPr>
            <w:r w:rsidRPr="00112B77">
              <w:rPr>
                <w:rFonts w:ascii="Arial" w:hAnsi="Arial" w:cs="Arial"/>
                <w:lang w:val="en"/>
              </w:rPr>
              <w:t xml:space="preserve">Adults </w:t>
            </w:r>
            <w:proofErr w:type="gramStart"/>
            <w:r w:rsidRPr="00112B77">
              <w:rPr>
                <w:rFonts w:ascii="Arial" w:hAnsi="Arial" w:cs="Arial"/>
                <w:lang w:val="en"/>
              </w:rPr>
              <w:t>are not permitted</w:t>
            </w:r>
            <w:proofErr w:type="gramEnd"/>
            <w:r w:rsidRPr="00112B77">
              <w:rPr>
                <w:rFonts w:ascii="Arial" w:hAnsi="Arial" w:cs="Arial"/>
                <w:lang w:val="en"/>
              </w:rPr>
              <w:t xml:space="preserve"> to send sexually explicit messages, pictures, or videos to minors.</w:t>
            </w:r>
          </w:p>
          <w:p w:rsidR="00596BEB" w:rsidRPr="00112B77" w:rsidRDefault="00596BEB" w:rsidP="00112B77">
            <w:pPr>
              <w:rPr>
                <w:rFonts w:ascii="Arial" w:hAnsi="Arial" w:cs="Arial"/>
                <w:lang w:val="en"/>
              </w:rPr>
            </w:pPr>
          </w:p>
          <w:p w:rsidR="00112B77" w:rsidRPr="00112B77" w:rsidRDefault="00596BEB" w:rsidP="00112B77">
            <w:pPr>
              <w:rPr>
                <w:rFonts w:ascii="Arial" w:hAnsi="Arial" w:cs="Arial"/>
                <w:lang w:val="en"/>
              </w:rPr>
            </w:pPr>
            <w:r w:rsidRPr="00112B77">
              <w:rPr>
                <w:rFonts w:ascii="Arial" w:hAnsi="Arial" w:cs="Arial"/>
                <w:lang w:val="en"/>
              </w:rPr>
              <w:t>It is also illegal for minors to take or keep nude or sexual “selfies” – pictures or videos they willingly made of themselves – or that they allowed someone else to take.</w:t>
            </w:r>
          </w:p>
        </w:tc>
      </w:tr>
      <w:tr w:rsidR="00596BEB" w:rsidRPr="00596BEB" w:rsidTr="00112B77">
        <w:trPr>
          <w:trHeight w:val="80"/>
        </w:trPr>
        <w:tc>
          <w:tcPr>
            <w:tcW w:w="5220" w:type="dxa"/>
          </w:tcPr>
          <w:p w:rsidR="00112B77" w:rsidRPr="00112B77" w:rsidRDefault="00112B77" w:rsidP="00112B77">
            <w:pPr>
              <w:rPr>
                <w:rFonts w:ascii="OpenSans-Regular" w:hAnsi="OpenSans-Regular" w:cs="Arial" w:hint="eastAsia"/>
                <w:b/>
                <w:bCs/>
              </w:rPr>
            </w:pPr>
            <w:proofErr w:type="spellStart"/>
            <w:r w:rsidRPr="00112B77">
              <w:rPr>
                <w:rFonts w:ascii="OpenSans-Regular" w:hAnsi="OpenSans-Regular" w:cs="Arial"/>
                <w:b/>
                <w:bCs/>
                <w:u w:val="single"/>
              </w:rPr>
              <w:t>刑事指控</w:t>
            </w:r>
            <w:proofErr w:type="spellEnd"/>
          </w:p>
          <w:p w:rsidR="00112B77" w:rsidRDefault="00112B77" w:rsidP="00112B77">
            <w:pPr>
              <w:rPr>
                <w:rFonts w:ascii="OpenSans-Regular" w:hAnsi="OpenSans-Regular" w:cs="Arial" w:hint="eastAsia"/>
              </w:rPr>
            </w:pPr>
            <w:r>
              <w:rPr>
                <w:rFonts w:ascii="OpenSans-Regular" w:hAnsi="OpenSans-Regular" w:cs="Arial"/>
              </w:rPr>
              <w:t>宾夕法尼亚州的大多数刑事指控必须在</w:t>
            </w:r>
            <w:r>
              <w:rPr>
                <w:rFonts w:ascii="OpenSans-Regular" w:hAnsi="OpenSans-Regular" w:cs="Arial"/>
              </w:rPr>
              <w:t>2</w:t>
            </w:r>
            <w:r>
              <w:rPr>
                <w:rFonts w:ascii="OpenSans-Regular" w:hAnsi="OpenSans-Regular" w:cs="Arial"/>
              </w:rPr>
              <w:t>年内对嫌疑人提起。</w:t>
            </w:r>
            <w:r>
              <w:rPr>
                <w:rFonts w:ascii="OpenSans-Regular" w:hAnsi="OpenSans-Regular" w:cs="Arial"/>
              </w:rPr>
              <w:t xml:space="preserve">  </w:t>
            </w:r>
            <w:r>
              <w:rPr>
                <w:rFonts w:ascii="OpenSans-Regular" w:hAnsi="OpenSans-Regular" w:cs="Arial"/>
              </w:rPr>
              <w:t>但是，一些性犯罪指控可以在</w:t>
            </w:r>
            <w:r>
              <w:rPr>
                <w:rFonts w:ascii="OpenSans-Regular" w:hAnsi="OpenSans-Regular" w:cs="Arial"/>
              </w:rPr>
              <w:t>2</w:t>
            </w:r>
            <w:r>
              <w:rPr>
                <w:rFonts w:ascii="OpenSans-Regular" w:hAnsi="OpenSans-Regular" w:cs="Arial"/>
              </w:rPr>
              <w:t>年之后提起。</w:t>
            </w:r>
            <w:r>
              <w:rPr>
                <w:rFonts w:ascii="OpenSans-Regular" w:hAnsi="OpenSans-Regular" w:cs="Arial"/>
              </w:rPr>
              <w:t xml:space="preserve">  </w:t>
            </w:r>
            <w:proofErr w:type="spellStart"/>
            <w:r>
              <w:rPr>
                <w:rFonts w:ascii="OpenSans-Regular" w:hAnsi="OpenSans-Regular" w:cs="Arial"/>
              </w:rPr>
              <w:t>这是因为许多性虐待受害者（特别是儿童）在被侵犯之后不久可能害怕检举罪犯分子</w:t>
            </w:r>
            <w:proofErr w:type="spellEnd"/>
            <w:r>
              <w:rPr>
                <w:rFonts w:ascii="OpenSans-Regular" w:hAnsi="OpenSans-Regular" w:cs="Arial"/>
              </w:rPr>
              <w:t>。</w:t>
            </w:r>
            <w:r>
              <w:rPr>
                <w:rFonts w:ascii="OpenSans-Regular" w:hAnsi="OpenSans-Regular" w:cs="Arial"/>
              </w:rPr>
              <w:t xml:space="preserve">  </w:t>
            </w:r>
          </w:p>
          <w:p w:rsidR="00112B77" w:rsidRPr="00112B77" w:rsidRDefault="00112B77" w:rsidP="00112B77">
            <w:pPr>
              <w:pStyle w:val="ListParagraph"/>
              <w:numPr>
                <w:ilvl w:val="0"/>
                <w:numId w:val="1"/>
              </w:numPr>
              <w:ind w:left="720"/>
              <w:rPr>
                <w:rFonts w:ascii="OpenSans-Regular" w:hAnsi="OpenSans-Regular" w:cs="Arial" w:hint="eastAsia"/>
                <w:sz w:val="20"/>
                <w:szCs w:val="20"/>
              </w:rPr>
            </w:pPr>
            <w:r w:rsidRPr="00112B77">
              <w:rPr>
                <w:rFonts w:ascii="OpenSans-Regular" w:hAnsi="OpenSans-Regular" w:cs="Arial"/>
                <w:sz w:val="20"/>
                <w:szCs w:val="20"/>
              </w:rPr>
              <w:t>性侵犯指控可以在成年人实施性侵犯后最长</w:t>
            </w:r>
            <w:r w:rsidRPr="00112B77">
              <w:rPr>
                <w:rFonts w:ascii="OpenSans-Regular" w:hAnsi="OpenSans-Regular" w:cs="Arial"/>
                <w:sz w:val="20"/>
                <w:szCs w:val="20"/>
              </w:rPr>
              <w:t>12</w:t>
            </w:r>
            <w:r w:rsidRPr="00112B77">
              <w:rPr>
                <w:rFonts w:ascii="OpenSans-Regular" w:hAnsi="OpenSans-Regular" w:cs="Arial"/>
                <w:sz w:val="20"/>
                <w:szCs w:val="20"/>
              </w:rPr>
              <w:t>年提起。</w:t>
            </w:r>
          </w:p>
          <w:p w:rsidR="00596BEB" w:rsidRPr="00112B77" w:rsidRDefault="00112B77" w:rsidP="00112B77">
            <w:pPr>
              <w:pStyle w:val="ListParagraph"/>
              <w:numPr>
                <w:ilvl w:val="0"/>
                <w:numId w:val="1"/>
              </w:numPr>
              <w:ind w:left="720"/>
              <w:rPr>
                <w:rFonts w:ascii="OpenSans-Regular" w:hAnsi="OpenSans-Regular" w:cs="Arial"/>
              </w:rPr>
            </w:pPr>
            <w:r w:rsidRPr="00112B77">
              <w:rPr>
                <w:rFonts w:ascii="MS Gothic" w:eastAsia="MS Gothic" w:hAnsi="MS Gothic" w:cs="MS Gothic" w:hint="eastAsia"/>
                <w:sz w:val="20"/>
                <w:szCs w:val="20"/>
              </w:rPr>
              <w:t>性侵犯儿童的，可以在</w:t>
            </w:r>
            <w:r w:rsidRPr="00112B77">
              <w:rPr>
                <w:rFonts w:ascii="Microsoft JhengHei" w:eastAsia="Microsoft JhengHei" w:hAnsi="Microsoft JhengHei" w:cs="Microsoft JhengHei" w:hint="eastAsia"/>
                <w:sz w:val="20"/>
                <w:szCs w:val="20"/>
              </w:rPr>
              <w:t>该儿童年满</w:t>
            </w:r>
            <w:r w:rsidRPr="00112B77">
              <w:rPr>
                <w:rFonts w:ascii="OpenSans-Regular" w:hAnsi="OpenSans-Regular" w:cs="Arial"/>
                <w:sz w:val="20"/>
                <w:szCs w:val="20"/>
              </w:rPr>
              <w:t>18</w:t>
            </w:r>
            <w:r w:rsidRPr="00112B77">
              <w:rPr>
                <w:rFonts w:ascii="Microsoft JhengHei" w:eastAsia="Microsoft JhengHei" w:hAnsi="Microsoft JhengHei" w:cs="Microsoft JhengHei" w:hint="eastAsia"/>
                <w:sz w:val="20"/>
                <w:szCs w:val="20"/>
              </w:rPr>
              <w:t>岁后的</w:t>
            </w:r>
            <w:r w:rsidRPr="00112B77">
              <w:rPr>
                <w:rFonts w:ascii="OpenSans-Regular" w:hAnsi="OpenSans-Regular" w:cs="Arial"/>
                <w:sz w:val="20"/>
                <w:szCs w:val="20"/>
              </w:rPr>
              <w:t>12</w:t>
            </w:r>
            <w:r w:rsidRPr="00112B77">
              <w:rPr>
                <w:rFonts w:ascii="MS Gothic" w:eastAsia="MS Gothic" w:hAnsi="MS Gothic" w:cs="MS Gothic" w:hint="eastAsia"/>
                <w:sz w:val="20"/>
                <w:szCs w:val="20"/>
              </w:rPr>
              <w:t>至</w:t>
            </w:r>
            <w:r w:rsidRPr="00112B77">
              <w:rPr>
                <w:rFonts w:ascii="OpenSans-Regular" w:hAnsi="OpenSans-Regular" w:cs="Arial"/>
                <w:sz w:val="20"/>
                <w:szCs w:val="20"/>
              </w:rPr>
              <w:t>32</w:t>
            </w:r>
            <w:r w:rsidRPr="00112B77">
              <w:rPr>
                <w:rFonts w:ascii="MS Gothic" w:eastAsia="MS Gothic" w:hAnsi="MS Gothic" w:cs="MS Gothic" w:hint="eastAsia"/>
                <w:sz w:val="20"/>
                <w:szCs w:val="20"/>
              </w:rPr>
              <w:t>年内</w:t>
            </w:r>
            <w:r w:rsidRPr="00112B77">
              <w:rPr>
                <w:rFonts w:ascii="Microsoft JhengHei" w:eastAsia="Microsoft JhengHei" w:hAnsi="Microsoft JhengHei" w:cs="Microsoft JhengHei" w:hint="eastAsia"/>
                <w:sz w:val="20"/>
                <w:szCs w:val="20"/>
              </w:rPr>
              <w:t>对性侵者提起刑事指控。</w:t>
            </w:r>
            <w:r w:rsidRPr="00112B77">
              <w:rPr>
                <w:rFonts w:ascii="OpenSans-Regular" w:hAnsi="OpenSans-Regular" w:cs="Arial"/>
                <w:sz w:val="20"/>
                <w:szCs w:val="20"/>
              </w:rPr>
              <w:t xml:space="preserve"> </w:t>
            </w:r>
            <w:r w:rsidRPr="00112B77">
              <w:rPr>
                <w:rFonts w:ascii="MS Gothic" w:eastAsia="MS Gothic" w:hAnsi="MS Gothic" w:cs="MS Gothic" w:hint="eastAsia"/>
                <w:sz w:val="20"/>
                <w:szCs w:val="20"/>
              </w:rPr>
              <w:t>（</w:t>
            </w:r>
            <w:r w:rsidRPr="00112B77">
              <w:rPr>
                <w:rFonts w:ascii="OpenSans-Regular" w:hAnsi="OpenSans-Regular" w:cs="Arial" w:hint="eastAsia"/>
                <w:sz w:val="20"/>
                <w:szCs w:val="20"/>
              </w:rPr>
              <w:t xml:space="preserve"> </w:t>
            </w:r>
            <w:r w:rsidRPr="00112B77">
              <w:rPr>
                <w:rFonts w:ascii="MS Gothic" w:eastAsia="MS Gothic" w:hAnsi="MS Gothic" w:cs="MS Gothic" w:hint="eastAsia"/>
                <w:sz w:val="20"/>
                <w:szCs w:val="20"/>
              </w:rPr>
              <w:t>确切的年数取决于儿童的出生日期是在</w:t>
            </w:r>
            <w:r w:rsidRPr="00112B77">
              <w:rPr>
                <w:rFonts w:ascii="OpenSans-Regular" w:hAnsi="OpenSans-Regular" w:cs="Arial"/>
                <w:sz w:val="20"/>
                <w:szCs w:val="20"/>
              </w:rPr>
              <w:t>2002</w:t>
            </w:r>
            <w:r w:rsidRPr="00112B77">
              <w:rPr>
                <w:rFonts w:ascii="MS Gothic" w:eastAsia="MS Gothic" w:hAnsi="MS Gothic" w:cs="MS Gothic" w:hint="eastAsia"/>
                <w:sz w:val="20"/>
                <w:szCs w:val="20"/>
              </w:rPr>
              <w:t>年</w:t>
            </w:r>
            <w:r w:rsidRPr="00112B77">
              <w:rPr>
                <w:rFonts w:ascii="OpenSans-Regular" w:hAnsi="OpenSans-Regular" w:cs="Arial"/>
                <w:sz w:val="20"/>
                <w:szCs w:val="20"/>
              </w:rPr>
              <w:t>8</w:t>
            </w:r>
            <w:r w:rsidRPr="00112B77">
              <w:rPr>
                <w:rFonts w:ascii="MS Gothic" w:eastAsia="MS Gothic" w:hAnsi="MS Gothic" w:cs="MS Gothic" w:hint="eastAsia"/>
                <w:sz w:val="20"/>
                <w:szCs w:val="20"/>
              </w:rPr>
              <w:t>月</w:t>
            </w:r>
            <w:r w:rsidRPr="00112B77">
              <w:rPr>
                <w:rFonts w:ascii="OpenSans-Regular" w:hAnsi="OpenSans-Regular" w:cs="Arial"/>
                <w:sz w:val="20"/>
                <w:szCs w:val="20"/>
              </w:rPr>
              <w:t>27</w:t>
            </w:r>
            <w:r w:rsidRPr="00112B77">
              <w:rPr>
                <w:rFonts w:ascii="MS Gothic" w:eastAsia="MS Gothic" w:hAnsi="MS Gothic" w:cs="MS Gothic" w:hint="eastAsia"/>
                <w:sz w:val="20"/>
                <w:szCs w:val="20"/>
              </w:rPr>
              <w:t>日之前</w:t>
            </w:r>
            <w:r w:rsidRPr="00112B77">
              <w:rPr>
                <w:rFonts w:ascii="Microsoft JhengHei" w:eastAsia="Microsoft JhengHei" w:hAnsi="Microsoft JhengHei" w:cs="Microsoft JhengHei" w:hint="eastAsia"/>
                <w:sz w:val="20"/>
                <w:szCs w:val="20"/>
              </w:rPr>
              <w:t>还是之后，这个时间是现行法律的生效日。）</w:t>
            </w:r>
          </w:p>
        </w:tc>
        <w:tc>
          <w:tcPr>
            <w:tcW w:w="5309" w:type="dxa"/>
          </w:tcPr>
          <w:p w:rsidR="00596BEB" w:rsidRPr="00596BEB" w:rsidRDefault="00596BEB" w:rsidP="00112B77">
            <w:pPr>
              <w:rPr>
                <w:rFonts w:ascii="Arial" w:hAnsi="Arial" w:cs="Arial"/>
                <w:b/>
                <w:bCs/>
                <w:lang w:val="en"/>
              </w:rPr>
            </w:pPr>
            <w:r w:rsidRPr="00596BEB">
              <w:rPr>
                <w:rFonts w:ascii="Arial" w:hAnsi="Arial" w:cs="Arial"/>
                <w:b/>
                <w:bCs/>
                <w:u w:val="single"/>
                <w:lang w:val="en"/>
              </w:rPr>
              <w:t>Criminal Charges</w:t>
            </w:r>
          </w:p>
          <w:p w:rsidR="00596BEB" w:rsidRPr="00596BEB" w:rsidRDefault="00596BEB" w:rsidP="00112B77">
            <w:pPr>
              <w:rPr>
                <w:rFonts w:ascii="Arial" w:hAnsi="Arial" w:cs="Arial"/>
                <w:lang w:val="en"/>
              </w:rPr>
            </w:pPr>
            <w:r w:rsidRPr="00596BEB">
              <w:rPr>
                <w:rFonts w:ascii="Arial" w:hAnsi="Arial" w:cs="Arial"/>
                <w:lang w:val="en"/>
              </w:rPr>
              <w:t xml:space="preserve">Most criminal charges in Pennsylvania </w:t>
            </w:r>
            <w:proofErr w:type="gramStart"/>
            <w:r w:rsidRPr="00596BEB">
              <w:rPr>
                <w:rFonts w:ascii="Arial" w:hAnsi="Arial" w:cs="Arial"/>
                <w:lang w:val="en"/>
              </w:rPr>
              <w:t>must be brought</w:t>
            </w:r>
            <w:proofErr w:type="gramEnd"/>
            <w:r w:rsidRPr="00596BEB">
              <w:rPr>
                <w:rFonts w:ascii="Arial" w:hAnsi="Arial" w:cs="Arial"/>
                <w:lang w:val="en"/>
              </w:rPr>
              <w:t xml:space="preserve"> against a suspect within 2 years.  </w:t>
            </w:r>
            <w:proofErr w:type="gramStart"/>
            <w:r w:rsidRPr="00596BEB">
              <w:rPr>
                <w:rFonts w:ascii="Arial" w:hAnsi="Arial" w:cs="Arial"/>
                <w:lang w:val="en"/>
              </w:rPr>
              <w:t>But</w:t>
            </w:r>
            <w:proofErr w:type="gramEnd"/>
            <w:r w:rsidRPr="00596BEB">
              <w:rPr>
                <w:rFonts w:ascii="Arial" w:hAnsi="Arial" w:cs="Arial"/>
                <w:lang w:val="en"/>
              </w:rPr>
              <w:t xml:space="preserve">, some sex crime charges may be made after more than 2 years has passed.  This is because many sexual abuse victims – especially children – may be afraid to report what happened soon after the crime.  </w:t>
            </w:r>
          </w:p>
          <w:p w:rsidR="00596BEB" w:rsidRPr="00596BEB" w:rsidRDefault="00596BEB" w:rsidP="00112B77">
            <w:pPr>
              <w:pStyle w:val="ListParagraph"/>
              <w:numPr>
                <w:ilvl w:val="0"/>
                <w:numId w:val="1"/>
              </w:numPr>
              <w:rPr>
                <w:rFonts w:ascii="Arial" w:hAnsi="Arial" w:cs="Arial"/>
                <w:sz w:val="18"/>
                <w:szCs w:val="18"/>
                <w:lang w:val="en"/>
              </w:rPr>
            </w:pPr>
            <w:r w:rsidRPr="00596BEB">
              <w:rPr>
                <w:rFonts w:ascii="Arial" w:hAnsi="Arial" w:cs="Arial"/>
                <w:sz w:val="18"/>
                <w:szCs w:val="18"/>
                <w:lang w:val="en"/>
              </w:rPr>
              <w:t xml:space="preserve">Sexual assault charges </w:t>
            </w:r>
            <w:proofErr w:type="gramStart"/>
            <w:r w:rsidRPr="00596BEB">
              <w:rPr>
                <w:rFonts w:ascii="Arial" w:hAnsi="Arial" w:cs="Arial"/>
                <w:sz w:val="18"/>
                <w:szCs w:val="18"/>
                <w:lang w:val="en"/>
              </w:rPr>
              <w:t>can be filed</w:t>
            </w:r>
            <w:proofErr w:type="gramEnd"/>
            <w:r w:rsidRPr="00596BEB">
              <w:rPr>
                <w:rFonts w:ascii="Arial" w:hAnsi="Arial" w:cs="Arial"/>
                <w:sz w:val="18"/>
                <w:szCs w:val="18"/>
                <w:lang w:val="en"/>
              </w:rPr>
              <w:t xml:space="preserve"> for up to 12 years after the sexual assault of an adult.</w:t>
            </w:r>
          </w:p>
          <w:p w:rsidR="00596BEB" w:rsidRPr="00596BEB" w:rsidRDefault="00596BEB" w:rsidP="00112B77">
            <w:pPr>
              <w:pStyle w:val="ListParagraph"/>
              <w:numPr>
                <w:ilvl w:val="0"/>
                <w:numId w:val="1"/>
              </w:numPr>
              <w:rPr>
                <w:rFonts w:ascii="Arial" w:hAnsi="Arial" w:cs="Arial"/>
                <w:sz w:val="22"/>
                <w:szCs w:val="22"/>
                <w:lang w:val="en"/>
              </w:rPr>
            </w:pPr>
            <w:r w:rsidRPr="00596BEB">
              <w:rPr>
                <w:rFonts w:ascii="Arial" w:hAnsi="Arial" w:cs="Arial"/>
                <w:sz w:val="18"/>
                <w:szCs w:val="18"/>
                <w:lang w:val="en"/>
              </w:rPr>
              <w:t xml:space="preserve">Someone </w:t>
            </w:r>
            <w:proofErr w:type="gramStart"/>
            <w:r w:rsidRPr="00596BEB">
              <w:rPr>
                <w:rFonts w:ascii="Arial" w:hAnsi="Arial" w:cs="Arial"/>
                <w:sz w:val="18"/>
                <w:szCs w:val="18"/>
                <w:lang w:val="en"/>
              </w:rPr>
              <w:t>can be criminally charged</w:t>
            </w:r>
            <w:proofErr w:type="gramEnd"/>
            <w:r w:rsidRPr="00596BEB">
              <w:rPr>
                <w:rFonts w:ascii="Arial" w:hAnsi="Arial" w:cs="Arial"/>
                <w:sz w:val="18"/>
                <w:szCs w:val="18"/>
                <w:lang w:val="en"/>
              </w:rPr>
              <w:t xml:space="preserve"> with sexually assaulting a child 12-32 years after that child turns 18.   (The exact number of years depends on whether the child was born before or after August 27, 2002, when the current law went into effect.</w:t>
            </w:r>
          </w:p>
        </w:tc>
      </w:tr>
    </w:tbl>
    <w:p w:rsidR="00C1375C" w:rsidRDefault="00C1375C" w:rsidP="00112B77">
      <w:pPr>
        <w:tabs>
          <w:tab w:val="left" w:pos="4860"/>
          <w:tab w:val="left" w:pos="5490"/>
          <w:tab w:val="left" w:pos="7380"/>
        </w:tabs>
        <w:spacing w:after="0" w:line="240" w:lineRule="auto"/>
      </w:pPr>
    </w:p>
    <w:sectPr w:rsidR="00C1375C"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304925" cy="461645"/>
              <wp:effectExtent l="0" t="0" r="9525" b="0"/>
              <wp:wrapTight wrapText="bothSides">
                <wp:wrapPolygon edited="0">
                  <wp:start x="0" y="0"/>
                  <wp:lineTo x="0" y="20501"/>
                  <wp:lineTo x="21442" y="20501"/>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30492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6BFC7364"/>
    <w:multiLevelType w:val="hybridMultilevel"/>
    <w:tmpl w:val="9C76D532"/>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F0011"/>
    <w:rsid w:val="00351C47"/>
    <w:rsid w:val="00373DF2"/>
    <w:rsid w:val="003A05C3"/>
    <w:rsid w:val="00553ED6"/>
    <w:rsid w:val="00567690"/>
    <w:rsid w:val="00596BEB"/>
    <w:rsid w:val="0076631A"/>
    <w:rsid w:val="00950D84"/>
    <w:rsid w:val="00A57BBB"/>
    <w:rsid w:val="00B94D49"/>
    <w:rsid w:val="00BB3C2B"/>
    <w:rsid w:val="00C1375C"/>
    <w:rsid w:val="00CE318B"/>
    <w:rsid w:val="00CF4E43"/>
    <w:rsid w:val="00E62438"/>
    <w:rsid w:val="00E77323"/>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6C5CF"/>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7761-A379-4514-9B7E-9F568181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2017-06-07T02:03:00Z</cp:lastPrinted>
  <dcterms:created xsi:type="dcterms:W3CDTF">2017-06-07T02:04:00Z</dcterms:created>
  <dcterms:modified xsi:type="dcterms:W3CDTF">2017-06-07T02:11:00Z</dcterms:modified>
</cp:coreProperties>
</file>