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Default="00567690" w:rsidP="00567690">
      <w:pPr>
        <w:jc w:val="center"/>
      </w:pPr>
      <w:r w:rsidRPr="00BB3C2B">
        <w:rPr>
          <w:rFonts w:ascii="Arial" w:hAnsi="Arial" w:cs="Arial"/>
          <w:noProof/>
          <w:sz w:val="24"/>
          <w:szCs w:val="24"/>
          <w:lang w:bidi="km-KH"/>
        </w:rPr>
        <w:drawing>
          <wp:inline distT="0" distB="0" distL="0" distR="0" wp14:anchorId="15EC34C5" wp14:editId="21B1365F">
            <wp:extent cx="2106816" cy="7459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246521" cy="795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860"/>
      </w:tblGrid>
      <w:tr w:rsidR="00596BEB" w:rsidRPr="00596BEB" w:rsidTr="00596BEB">
        <w:tc>
          <w:tcPr>
            <w:tcW w:w="6030" w:type="dxa"/>
          </w:tcPr>
          <w:p w:rsidR="00596BEB" w:rsidRPr="00596BEB" w:rsidRDefault="00596BEB" w:rsidP="00596BEB">
            <w:pPr>
              <w:rPr>
                <w:rFonts w:ascii="Arial" w:hAnsi="Arial" w:cs="Arial"/>
                <w:b/>
                <w:bCs/>
                <w:color w:val="000000" w:themeColor="text1"/>
                <w:lang w:val="es-ES"/>
              </w:rPr>
            </w:pPr>
            <w:r w:rsidRPr="00596BEB">
              <w:rPr>
                <w:rFonts w:ascii="Arial" w:hAnsi="Arial" w:cs="Arial"/>
                <w:b/>
                <w:bCs/>
                <w:color w:val="000000" w:themeColor="text1"/>
                <w:u w:val="single"/>
                <w:lang w:val="es-ES"/>
              </w:rPr>
              <w:t>Delitos sexuales</w:t>
            </w: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La ley de Pensilvana reconoce una serie de delitos sexuales.  Algunos delitos sexuales implican la penetración del cuerpo de una persona.  Otros no lo hacen.</w:t>
            </w:r>
          </w:p>
          <w:p w:rsidR="00596BEB" w:rsidRPr="00596BEB" w:rsidRDefault="00596BEB" w:rsidP="00596BEB">
            <w:pPr>
              <w:rPr>
                <w:rFonts w:ascii="Arial" w:hAnsi="Arial" w:cs="Arial"/>
                <w:color w:val="000000" w:themeColor="text1"/>
                <w:lang w:val="es-ES"/>
              </w:rPr>
            </w:pP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La ley de Pensilvana prohíbe el incesto.  El incesto se produce cuando una persona se casa con conocimiento de causa, vive como una pareja sexual, o tiene relaciones sexuales con una de las siguientes:</w:t>
            </w:r>
          </w:p>
          <w:p w:rsidR="00596BEB" w:rsidRPr="00596BEB" w:rsidRDefault="00596BEB" w:rsidP="00596BEB">
            <w:pPr>
              <w:pStyle w:val="ListParagraph"/>
              <w:numPr>
                <w:ilvl w:val="0"/>
                <w:numId w:val="7"/>
              </w:numPr>
              <w:ind w:left="345" w:hanging="270"/>
              <w:rPr>
                <w:rFonts w:ascii="Arial" w:hAnsi="Arial" w:cs="Arial"/>
                <w:color w:val="000000" w:themeColor="text1"/>
                <w:sz w:val="20"/>
                <w:szCs w:val="20"/>
                <w:lang w:val="es-ES"/>
              </w:rPr>
            </w:pPr>
            <w:r w:rsidRPr="00596BEB">
              <w:rPr>
                <w:rFonts w:ascii="Arial" w:hAnsi="Arial" w:cs="Arial"/>
                <w:color w:val="000000" w:themeColor="text1"/>
                <w:sz w:val="20"/>
                <w:szCs w:val="20"/>
                <w:lang w:val="es-ES"/>
              </w:rPr>
              <w:t>Ancestro (por ejemplo, padres, abuelos)</w:t>
            </w:r>
          </w:p>
          <w:p w:rsidR="00596BEB" w:rsidRPr="00596BEB" w:rsidRDefault="00596BEB" w:rsidP="00596BEB">
            <w:pPr>
              <w:pStyle w:val="ListParagraph"/>
              <w:numPr>
                <w:ilvl w:val="0"/>
                <w:numId w:val="7"/>
              </w:numPr>
              <w:ind w:left="345" w:hanging="270"/>
              <w:rPr>
                <w:rFonts w:ascii="Arial" w:hAnsi="Arial" w:cs="Arial"/>
                <w:color w:val="000000" w:themeColor="text1"/>
                <w:sz w:val="20"/>
                <w:szCs w:val="20"/>
                <w:lang w:val="es-ES"/>
              </w:rPr>
            </w:pPr>
            <w:r w:rsidRPr="00596BEB">
              <w:rPr>
                <w:rFonts w:ascii="Arial" w:hAnsi="Arial" w:cs="Arial"/>
                <w:color w:val="000000" w:themeColor="text1"/>
                <w:sz w:val="20"/>
                <w:szCs w:val="20"/>
                <w:lang w:val="es-ES"/>
              </w:rPr>
              <w:t>Descendiente (por ejemplo, hijo, nieto)</w:t>
            </w:r>
          </w:p>
          <w:p w:rsidR="00596BEB" w:rsidRPr="00596BEB" w:rsidRDefault="00596BEB" w:rsidP="00596BEB">
            <w:pPr>
              <w:pStyle w:val="ListParagraph"/>
              <w:numPr>
                <w:ilvl w:val="0"/>
                <w:numId w:val="7"/>
              </w:numPr>
              <w:ind w:left="345" w:hanging="270"/>
              <w:rPr>
                <w:rFonts w:ascii="Arial" w:hAnsi="Arial" w:cs="Arial"/>
                <w:color w:val="000000" w:themeColor="text1"/>
                <w:sz w:val="20"/>
                <w:szCs w:val="20"/>
                <w:lang w:val="es-ES"/>
              </w:rPr>
            </w:pPr>
            <w:r w:rsidRPr="00596BEB">
              <w:rPr>
                <w:rFonts w:ascii="Arial" w:hAnsi="Arial" w:cs="Arial"/>
                <w:color w:val="000000" w:themeColor="text1"/>
                <w:sz w:val="20"/>
                <w:szCs w:val="20"/>
                <w:lang w:val="es-ES"/>
              </w:rPr>
              <w:t>Hermanos de sangre (es decir, tienen los mismos padres) o medios hermanos (es decir, uno de los padres es el mismo)</w:t>
            </w:r>
          </w:p>
          <w:p w:rsidR="00596BEB" w:rsidRPr="00596BEB" w:rsidRDefault="00596BEB" w:rsidP="00596BEB">
            <w:pPr>
              <w:pStyle w:val="ListParagraph"/>
              <w:numPr>
                <w:ilvl w:val="0"/>
                <w:numId w:val="7"/>
              </w:numPr>
              <w:ind w:left="345" w:hanging="270"/>
              <w:rPr>
                <w:rFonts w:ascii="Arial" w:hAnsi="Arial" w:cs="Arial"/>
                <w:color w:val="000000" w:themeColor="text1"/>
                <w:sz w:val="20"/>
                <w:szCs w:val="20"/>
                <w:lang w:val="es-ES"/>
              </w:rPr>
            </w:pPr>
            <w:r w:rsidRPr="00596BEB">
              <w:rPr>
                <w:rFonts w:ascii="Arial" w:hAnsi="Arial" w:cs="Arial"/>
                <w:color w:val="000000" w:themeColor="text1"/>
                <w:sz w:val="20"/>
                <w:szCs w:val="20"/>
                <w:lang w:val="es-ES"/>
              </w:rPr>
              <w:t>Tío, tía, sobrino o sobrina de sangre</w:t>
            </w:r>
          </w:p>
          <w:p w:rsidR="00596BEB" w:rsidRPr="00596BEB" w:rsidRDefault="00596BEB" w:rsidP="00596BEB">
            <w:pPr>
              <w:rPr>
                <w:rFonts w:ascii="Arial" w:hAnsi="Arial" w:cs="Arial"/>
                <w:color w:val="000000" w:themeColor="text1"/>
                <w:lang w:val="es-ES"/>
              </w:rPr>
            </w:pP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 xml:space="preserve">También es ilegal distribuir imágenes o vídeos que muestran a una persona parcialmente desvestida, desnuda, o participando en un comportamiento sexual si: </w:t>
            </w:r>
          </w:p>
          <w:p w:rsidR="00596BEB" w:rsidRPr="00596BEB" w:rsidRDefault="00596BEB" w:rsidP="00596BEB">
            <w:pPr>
              <w:pStyle w:val="ListParagraph"/>
              <w:numPr>
                <w:ilvl w:val="0"/>
                <w:numId w:val="8"/>
              </w:numPr>
              <w:ind w:left="255" w:hanging="255"/>
              <w:rPr>
                <w:rFonts w:ascii="Arial" w:hAnsi="Arial" w:cs="Arial"/>
                <w:color w:val="000000" w:themeColor="text1"/>
                <w:sz w:val="20"/>
                <w:szCs w:val="20"/>
                <w:lang w:val="es-ES"/>
              </w:rPr>
            </w:pPr>
            <w:r w:rsidRPr="00596BEB">
              <w:rPr>
                <w:rFonts w:ascii="Arial" w:hAnsi="Arial" w:cs="Arial"/>
                <w:color w:val="000000" w:themeColor="text1"/>
                <w:sz w:val="20"/>
                <w:szCs w:val="20"/>
                <w:lang w:val="es-ES"/>
              </w:rPr>
              <w:t>Fue tomado sin el permiso de la persona.</w:t>
            </w:r>
          </w:p>
          <w:p w:rsidR="00596BEB" w:rsidRPr="00596BEB" w:rsidRDefault="00596BEB" w:rsidP="00596BEB">
            <w:pPr>
              <w:pStyle w:val="ListParagraph"/>
              <w:numPr>
                <w:ilvl w:val="0"/>
                <w:numId w:val="8"/>
              </w:numPr>
              <w:ind w:left="255" w:hanging="255"/>
              <w:rPr>
                <w:rFonts w:ascii="Arial" w:hAnsi="Arial" w:cs="Arial"/>
                <w:color w:val="000000" w:themeColor="text1"/>
                <w:sz w:val="20"/>
                <w:szCs w:val="20"/>
                <w:lang w:val="es-ES"/>
              </w:rPr>
            </w:pPr>
            <w:r w:rsidRPr="00596BEB">
              <w:rPr>
                <w:rFonts w:ascii="Arial" w:hAnsi="Arial" w:cs="Arial"/>
                <w:color w:val="000000" w:themeColor="text1"/>
                <w:sz w:val="20"/>
                <w:szCs w:val="20"/>
                <w:lang w:val="es-ES"/>
              </w:rPr>
              <w:t>La persona no dio su consentimiento para su distribución.</w:t>
            </w:r>
          </w:p>
          <w:p w:rsidR="00596BEB" w:rsidRPr="00596BEB" w:rsidRDefault="00596BEB" w:rsidP="00596BEB">
            <w:pPr>
              <w:pStyle w:val="ListParagraph"/>
              <w:numPr>
                <w:ilvl w:val="0"/>
                <w:numId w:val="8"/>
              </w:numPr>
              <w:ind w:left="255" w:hanging="255"/>
              <w:rPr>
                <w:rFonts w:ascii="Arial" w:hAnsi="Arial" w:cs="Arial"/>
                <w:color w:val="000000" w:themeColor="text1"/>
                <w:sz w:val="20"/>
                <w:szCs w:val="20"/>
                <w:lang w:val="es-ES"/>
              </w:rPr>
            </w:pPr>
            <w:r w:rsidRPr="00596BEB">
              <w:rPr>
                <w:rFonts w:ascii="Arial" w:hAnsi="Arial" w:cs="Arial"/>
                <w:color w:val="000000" w:themeColor="text1"/>
                <w:sz w:val="20"/>
                <w:szCs w:val="20"/>
                <w:lang w:val="es-ES"/>
              </w:rPr>
              <w:t>Fue distribuido para acosar o molestar a la persona.</w:t>
            </w:r>
          </w:p>
          <w:p w:rsidR="00596BEB" w:rsidRPr="00596BEB" w:rsidRDefault="00596BEB" w:rsidP="00596BEB">
            <w:pPr>
              <w:pStyle w:val="ListParagraph"/>
              <w:numPr>
                <w:ilvl w:val="0"/>
                <w:numId w:val="8"/>
              </w:numPr>
              <w:ind w:left="255" w:hanging="255"/>
              <w:rPr>
                <w:rFonts w:ascii="Arial" w:hAnsi="Arial" w:cs="Arial"/>
                <w:color w:val="000000" w:themeColor="text1"/>
                <w:sz w:val="20"/>
                <w:szCs w:val="20"/>
                <w:lang w:val="es-ES"/>
              </w:rPr>
            </w:pPr>
            <w:r w:rsidRPr="00596BEB">
              <w:rPr>
                <w:rFonts w:ascii="Arial" w:hAnsi="Arial" w:cs="Arial"/>
                <w:color w:val="000000" w:themeColor="text1"/>
                <w:sz w:val="20"/>
                <w:szCs w:val="20"/>
                <w:lang w:val="es-ES"/>
              </w:rPr>
              <w:t>La persona es menor de edad (es decir, menos de 18 años de edad).</w:t>
            </w:r>
          </w:p>
          <w:p w:rsidR="00596BEB" w:rsidRPr="00596BEB" w:rsidRDefault="00596BEB" w:rsidP="00596BEB">
            <w:pPr>
              <w:rPr>
                <w:rFonts w:ascii="Arial" w:hAnsi="Arial" w:cs="Arial"/>
                <w:color w:val="000000" w:themeColor="text1"/>
                <w:lang w:val="es-ES"/>
              </w:rPr>
            </w:pP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A los adultos no se les permite enviar mensajes sexualmente explícitos, fotos o vídeos a menores de edad.</w:t>
            </w:r>
          </w:p>
          <w:p w:rsidR="00596BEB" w:rsidRPr="00596BEB" w:rsidRDefault="00596BEB" w:rsidP="00596BEB">
            <w:pPr>
              <w:rPr>
                <w:rFonts w:ascii="Arial" w:hAnsi="Arial" w:cs="Arial"/>
                <w:color w:val="000000" w:themeColor="text1"/>
                <w:lang w:val="es-ES"/>
              </w:rPr>
            </w:pP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También es ilegal que los menores de edad se tomen o conserven "</w:t>
            </w:r>
            <w:proofErr w:type="spellStart"/>
            <w:r w:rsidRPr="00596BEB">
              <w:rPr>
                <w:rFonts w:ascii="Arial" w:hAnsi="Arial" w:cs="Arial"/>
                <w:color w:val="000000" w:themeColor="text1"/>
                <w:lang w:val="es-ES"/>
              </w:rPr>
              <w:t>selfies</w:t>
            </w:r>
            <w:proofErr w:type="spellEnd"/>
            <w:r w:rsidRPr="00596BEB">
              <w:rPr>
                <w:rFonts w:ascii="Arial" w:hAnsi="Arial" w:cs="Arial"/>
                <w:color w:val="000000" w:themeColor="text1"/>
                <w:lang w:val="es-ES"/>
              </w:rPr>
              <w:t>" de desnudos o contenido sexual (imágenes o vídeos que voluntariamente hacen de sí mismos) o que hayan permitido a otra persona tomarlos.</w:t>
            </w:r>
          </w:p>
          <w:p w:rsidR="00596BEB" w:rsidRPr="00596BEB" w:rsidRDefault="00596BEB" w:rsidP="00596BEB">
            <w:pPr>
              <w:rPr>
                <w:rFonts w:ascii="Arial" w:hAnsi="Arial" w:cs="Arial"/>
                <w:color w:val="000000" w:themeColor="text1"/>
                <w:u w:val="single"/>
                <w:lang w:val="es-ES"/>
              </w:rPr>
            </w:pPr>
          </w:p>
        </w:tc>
        <w:tc>
          <w:tcPr>
            <w:tcW w:w="4860" w:type="dxa"/>
          </w:tcPr>
          <w:p w:rsidR="00596BEB" w:rsidRPr="00596BEB" w:rsidRDefault="00596BEB" w:rsidP="00596BEB">
            <w:pPr>
              <w:rPr>
                <w:rFonts w:ascii="Arial" w:hAnsi="Arial" w:cs="Arial"/>
                <w:b/>
                <w:bCs/>
                <w:lang w:val="en"/>
              </w:rPr>
            </w:pPr>
            <w:r w:rsidRPr="00596BEB">
              <w:rPr>
                <w:rFonts w:ascii="Arial" w:hAnsi="Arial" w:cs="Arial"/>
                <w:b/>
                <w:bCs/>
                <w:u w:val="single"/>
                <w:lang w:val="en"/>
              </w:rPr>
              <w:t>Sex Crimes</w:t>
            </w:r>
          </w:p>
          <w:p w:rsidR="00596BEB" w:rsidRPr="00596BEB" w:rsidRDefault="00596BEB" w:rsidP="00596BEB">
            <w:pPr>
              <w:rPr>
                <w:rFonts w:ascii="Arial" w:hAnsi="Arial" w:cs="Arial"/>
                <w:lang w:val="en"/>
              </w:rPr>
            </w:pPr>
            <w:r w:rsidRPr="00596BEB">
              <w:rPr>
                <w:rFonts w:ascii="Arial" w:hAnsi="Arial" w:cs="Arial"/>
                <w:lang w:val="en"/>
              </w:rPr>
              <w:t>Pennsylvania law recognizes a variety of sex crimes.  Some sex crimes involve the penetration of a person’s body.  Others do not.</w:t>
            </w:r>
          </w:p>
          <w:p w:rsidR="00596BEB" w:rsidRPr="00596BEB" w:rsidRDefault="00596BEB" w:rsidP="00596BEB">
            <w:pPr>
              <w:rPr>
                <w:rFonts w:ascii="Arial" w:hAnsi="Arial" w:cs="Arial"/>
                <w:lang w:val="en"/>
              </w:rPr>
            </w:pPr>
          </w:p>
          <w:p w:rsidR="00596BEB" w:rsidRPr="00596BEB" w:rsidRDefault="00596BEB" w:rsidP="00596BEB">
            <w:pPr>
              <w:rPr>
                <w:rFonts w:ascii="Arial" w:hAnsi="Arial" w:cs="Arial"/>
                <w:lang w:val="en"/>
              </w:rPr>
            </w:pPr>
            <w:r w:rsidRPr="00596BEB">
              <w:rPr>
                <w:rFonts w:ascii="Arial" w:hAnsi="Arial" w:cs="Arial"/>
                <w:lang w:val="en"/>
              </w:rPr>
              <w:t>Pennsylvania law prohibits incest.  Incest occurs when a person knowingly marries, lives as a sexual partner, or has sexual intercourse with one of the following:</w:t>
            </w:r>
          </w:p>
          <w:p w:rsidR="00596BEB" w:rsidRPr="00596BEB" w:rsidRDefault="00596BEB" w:rsidP="00596BEB">
            <w:pPr>
              <w:pStyle w:val="ListParagraph"/>
              <w:numPr>
                <w:ilvl w:val="0"/>
                <w:numId w:val="7"/>
              </w:numPr>
              <w:ind w:left="345" w:hanging="345"/>
              <w:rPr>
                <w:rFonts w:ascii="Arial" w:hAnsi="Arial" w:cs="Arial"/>
                <w:sz w:val="20"/>
                <w:szCs w:val="20"/>
                <w:lang w:val="en"/>
              </w:rPr>
            </w:pPr>
            <w:r w:rsidRPr="00596BEB">
              <w:rPr>
                <w:rFonts w:ascii="Arial" w:hAnsi="Arial" w:cs="Arial"/>
                <w:sz w:val="20"/>
                <w:szCs w:val="20"/>
                <w:lang w:val="en"/>
              </w:rPr>
              <w:t>Ancestor (e.g., parent, grandparent)</w:t>
            </w:r>
          </w:p>
          <w:p w:rsidR="00596BEB" w:rsidRPr="00596BEB" w:rsidRDefault="00596BEB" w:rsidP="00596BEB">
            <w:pPr>
              <w:pStyle w:val="ListParagraph"/>
              <w:numPr>
                <w:ilvl w:val="0"/>
                <w:numId w:val="7"/>
              </w:numPr>
              <w:ind w:left="345" w:hanging="345"/>
              <w:rPr>
                <w:rFonts w:ascii="Arial" w:hAnsi="Arial" w:cs="Arial"/>
                <w:sz w:val="20"/>
                <w:szCs w:val="20"/>
                <w:lang w:val="en"/>
              </w:rPr>
            </w:pPr>
            <w:r w:rsidRPr="00596BEB">
              <w:rPr>
                <w:rFonts w:ascii="Arial" w:hAnsi="Arial" w:cs="Arial"/>
                <w:sz w:val="20"/>
                <w:szCs w:val="20"/>
                <w:lang w:val="en"/>
              </w:rPr>
              <w:t>Descendant (e.g., child, grandchild)</w:t>
            </w:r>
          </w:p>
          <w:p w:rsidR="00596BEB" w:rsidRPr="00596BEB" w:rsidRDefault="00596BEB" w:rsidP="00596BEB">
            <w:pPr>
              <w:pStyle w:val="ListParagraph"/>
              <w:numPr>
                <w:ilvl w:val="0"/>
                <w:numId w:val="7"/>
              </w:numPr>
              <w:ind w:left="345" w:hanging="345"/>
              <w:rPr>
                <w:rFonts w:ascii="Arial" w:hAnsi="Arial" w:cs="Arial"/>
                <w:sz w:val="20"/>
                <w:szCs w:val="20"/>
                <w:lang w:val="en"/>
              </w:rPr>
            </w:pPr>
            <w:r w:rsidRPr="00596BEB">
              <w:rPr>
                <w:rFonts w:ascii="Arial" w:hAnsi="Arial" w:cs="Arial"/>
                <w:sz w:val="20"/>
                <w:szCs w:val="20"/>
                <w:lang w:val="en"/>
              </w:rPr>
              <w:t>Whole-blood sibling (i.e. same parents) or half-blood sibling (i.e., one parent the same)</w:t>
            </w:r>
          </w:p>
          <w:p w:rsidR="00596BEB" w:rsidRPr="00596BEB" w:rsidRDefault="00596BEB" w:rsidP="00596BEB">
            <w:pPr>
              <w:pStyle w:val="ListParagraph"/>
              <w:numPr>
                <w:ilvl w:val="0"/>
                <w:numId w:val="7"/>
              </w:numPr>
              <w:ind w:left="345" w:hanging="345"/>
              <w:rPr>
                <w:rFonts w:ascii="Arial" w:hAnsi="Arial" w:cs="Arial"/>
                <w:sz w:val="20"/>
                <w:szCs w:val="20"/>
                <w:lang w:val="en"/>
              </w:rPr>
            </w:pPr>
            <w:r w:rsidRPr="00596BEB">
              <w:rPr>
                <w:rFonts w:ascii="Arial" w:hAnsi="Arial" w:cs="Arial"/>
                <w:sz w:val="20"/>
                <w:szCs w:val="20"/>
                <w:lang w:val="en"/>
              </w:rPr>
              <w:t>Whole-blood uncle, aunt, nephew or niece</w:t>
            </w:r>
          </w:p>
          <w:p w:rsidR="00596BEB" w:rsidRPr="00596BEB" w:rsidRDefault="00596BEB" w:rsidP="00596BEB">
            <w:pPr>
              <w:rPr>
                <w:rFonts w:ascii="Arial" w:hAnsi="Arial" w:cs="Arial"/>
                <w:lang w:val="en"/>
              </w:rPr>
            </w:pPr>
          </w:p>
          <w:p w:rsidR="00596BEB" w:rsidRPr="00596BEB" w:rsidRDefault="00596BEB" w:rsidP="00596BEB">
            <w:pPr>
              <w:rPr>
                <w:rFonts w:ascii="Arial" w:hAnsi="Arial" w:cs="Arial"/>
                <w:lang w:val="en"/>
              </w:rPr>
            </w:pPr>
            <w:r w:rsidRPr="00596BEB">
              <w:rPr>
                <w:rFonts w:ascii="Arial" w:hAnsi="Arial" w:cs="Arial"/>
                <w:lang w:val="en"/>
              </w:rPr>
              <w:t xml:space="preserve">It is also illegal to distribute pictures or videos that show a person partly undressed, nude, or engaging in sexual behavior if: </w:t>
            </w:r>
          </w:p>
          <w:p w:rsidR="00596BEB" w:rsidRPr="00596BEB" w:rsidRDefault="00596BEB" w:rsidP="00596BEB">
            <w:pPr>
              <w:pStyle w:val="ListParagraph"/>
              <w:numPr>
                <w:ilvl w:val="0"/>
                <w:numId w:val="8"/>
              </w:numPr>
              <w:ind w:left="345"/>
              <w:rPr>
                <w:rFonts w:ascii="Arial" w:hAnsi="Arial" w:cs="Arial"/>
                <w:sz w:val="20"/>
                <w:szCs w:val="20"/>
                <w:lang w:val="en"/>
              </w:rPr>
            </w:pPr>
            <w:r w:rsidRPr="00596BEB">
              <w:rPr>
                <w:rFonts w:ascii="Arial" w:hAnsi="Arial" w:cs="Arial"/>
                <w:sz w:val="20"/>
                <w:szCs w:val="20"/>
                <w:lang w:val="en"/>
              </w:rPr>
              <w:t xml:space="preserve">It </w:t>
            </w:r>
            <w:proofErr w:type="gramStart"/>
            <w:r w:rsidRPr="00596BEB">
              <w:rPr>
                <w:rFonts w:ascii="Arial" w:hAnsi="Arial" w:cs="Arial"/>
                <w:sz w:val="20"/>
                <w:szCs w:val="20"/>
                <w:lang w:val="en"/>
              </w:rPr>
              <w:t>was taken</w:t>
            </w:r>
            <w:proofErr w:type="gramEnd"/>
            <w:r w:rsidRPr="00596BEB">
              <w:rPr>
                <w:rFonts w:ascii="Arial" w:hAnsi="Arial" w:cs="Arial"/>
                <w:sz w:val="20"/>
                <w:szCs w:val="20"/>
                <w:lang w:val="en"/>
              </w:rPr>
              <w:t xml:space="preserve"> without the person’s permission.</w:t>
            </w:r>
          </w:p>
          <w:p w:rsidR="00596BEB" w:rsidRPr="00596BEB" w:rsidRDefault="00596BEB" w:rsidP="00596BEB">
            <w:pPr>
              <w:pStyle w:val="ListParagraph"/>
              <w:numPr>
                <w:ilvl w:val="0"/>
                <w:numId w:val="8"/>
              </w:numPr>
              <w:ind w:left="345"/>
              <w:rPr>
                <w:rFonts w:ascii="Arial" w:hAnsi="Arial" w:cs="Arial"/>
                <w:sz w:val="20"/>
                <w:szCs w:val="20"/>
                <w:lang w:val="en"/>
              </w:rPr>
            </w:pPr>
            <w:r w:rsidRPr="00596BEB">
              <w:rPr>
                <w:rFonts w:ascii="Arial" w:hAnsi="Arial" w:cs="Arial"/>
                <w:sz w:val="20"/>
                <w:szCs w:val="20"/>
                <w:lang w:val="en"/>
              </w:rPr>
              <w:t>The person did not consent to its distribution.</w:t>
            </w:r>
          </w:p>
          <w:p w:rsidR="00596BEB" w:rsidRPr="00596BEB" w:rsidRDefault="00596BEB" w:rsidP="00596BEB">
            <w:pPr>
              <w:pStyle w:val="ListParagraph"/>
              <w:numPr>
                <w:ilvl w:val="0"/>
                <w:numId w:val="8"/>
              </w:numPr>
              <w:ind w:left="345"/>
              <w:rPr>
                <w:rFonts w:ascii="Arial" w:hAnsi="Arial" w:cs="Arial"/>
                <w:sz w:val="20"/>
                <w:szCs w:val="20"/>
                <w:lang w:val="en"/>
              </w:rPr>
            </w:pPr>
            <w:r w:rsidRPr="00596BEB">
              <w:rPr>
                <w:rFonts w:ascii="Arial" w:hAnsi="Arial" w:cs="Arial"/>
                <w:sz w:val="20"/>
                <w:szCs w:val="20"/>
                <w:lang w:val="en"/>
              </w:rPr>
              <w:t xml:space="preserve">It </w:t>
            </w:r>
            <w:proofErr w:type="gramStart"/>
            <w:r w:rsidRPr="00596BEB">
              <w:rPr>
                <w:rFonts w:ascii="Arial" w:hAnsi="Arial" w:cs="Arial"/>
                <w:sz w:val="20"/>
                <w:szCs w:val="20"/>
                <w:lang w:val="en"/>
              </w:rPr>
              <w:t>was distributed</w:t>
            </w:r>
            <w:proofErr w:type="gramEnd"/>
            <w:r w:rsidRPr="00596BEB">
              <w:rPr>
                <w:rFonts w:ascii="Arial" w:hAnsi="Arial" w:cs="Arial"/>
                <w:sz w:val="20"/>
                <w:szCs w:val="20"/>
                <w:lang w:val="en"/>
              </w:rPr>
              <w:t xml:space="preserve"> to harass or upset the person.</w:t>
            </w:r>
          </w:p>
          <w:p w:rsidR="00596BEB" w:rsidRPr="00596BEB" w:rsidRDefault="00596BEB" w:rsidP="00596BEB">
            <w:pPr>
              <w:pStyle w:val="ListParagraph"/>
              <w:numPr>
                <w:ilvl w:val="0"/>
                <w:numId w:val="8"/>
              </w:numPr>
              <w:ind w:left="345"/>
              <w:rPr>
                <w:rFonts w:ascii="Arial" w:hAnsi="Arial" w:cs="Arial"/>
                <w:sz w:val="20"/>
                <w:szCs w:val="20"/>
                <w:lang w:val="en"/>
              </w:rPr>
            </w:pPr>
            <w:r w:rsidRPr="00596BEB">
              <w:rPr>
                <w:rFonts w:ascii="Arial" w:hAnsi="Arial" w:cs="Arial"/>
                <w:sz w:val="20"/>
                <w:szCs w:val="20"/>
                <w:lang w:val="en"/>
              </w:rPr>
              <w:t>The person is a minor (i.e., less than 18 years old).</w:t>
            </w:r>
          </w:p>
          <w:p w:rsidR="00596BEB" w:rsidRPr="00596BEB" w:rsidRDefault="00596BEB" w:rsidP="00596BEB">
            <w:pPr>
              <w:pStyle w:val="ListParagraph"/>
              <w:ind w:left="345"/>
              <w:rPr>
                <w:rFonts w:ascii="Arial" w:hAnsi="Arial" w:cs="Arial"/>
                <w:sz w:val="22"/>
                <w:szCs w:val="22"/>
                <w:lang w:val="en"/>
              </w:rPr>
            </w:pPr>
          </w:p>
          <w:p w:rsidR="00596BEB" w:rsidRPr="00596BEB" w:rsidRDefault="00596BEB" w:rsidP="00596BEB">
            <w:pPr>
              <w:rPr>
                <w:rFonts w:ascii="Arial" w:hAnsi="Arial" w:cs="Arial"/>
                <w:lang w:val="en"/>
              </w:rPr>
            </w:pPr>
            <w:r w:rsidRPr="00596BEB">
              <w:rPr>
                <w:rFonts w:ascii="Arial" w:hAnsi="Arial" w:cs="Arial"/>
                <w:lang w:val="en"/>
              </w:rPr>
              <w:t xml:space="preserve">Adults </w:t>
            </w:r>
            <w:proofErr w:type="gramStart"/>
            <w:r w:rsidRPr="00596BEB">
              <w:rPr>
                <w:rFonts w:ascii="Arial" w:hAnsi="Arial" w:cs="Arial"/>
                <w:lang w:val="en"/>
              </w:rPr>
              <w:t>are not permitted</w:t>
            </w:r>
            <w:proofErr w:type="gramEnd"/>
            <w:r w:rsidRPr="00596BEB">
              <w:rPr>
                <w:rFonts w:ascii="Arial" w:hAnsi="Arial" w:cs="Arial"/>
                <w:lang w:val="en"/>
              </w:rPr>
              <w:t xml:space="preserve"> to send sexually explicit messages, pictures, or videos to minors.</w:t>
            </w:r>
          </w:p>
          <w:p w:rsidR="00596BEB" w:rsidRPr="00596BEB" w:rsidRDefault="00596BEB" w:rsidP="00596BEB">
            <w:pPr>
              <w:rPr>
                <w:rFonts w:ascii="Arial" w:hAnsi="Arial" w:cs="Arial"/>
                <w:lang w:val="en"/>
              </w:rPr>
            </w:pPr>
          </w:p>
          <w:p w:rsidR="00596BEB" w:rsidRPr="00596BEB" w:rsidRDefault="00596BEB" w:rsidP="00596BEB">
            <w:pPr>
              <w:rPr>
                <w:rFonts w:ascii="Arial" w:hAnsi="Arial" w:cs="Arial"/>
                <w:lang w:val="en"/>
              </w:rPr>
            </w:pPr>
            <w:r w:rsidRPr="00596BEB">
              <w:rPr>
                <w:rFonts w:ascii="Arial" w:hAnsi="Arial" w:cs="Arial"/>
                <w:lang w:val="en"/>
              </w:rPr>
              <w:t>It is also illegal for minors to take or keep nude or sexual “selfies” – pictures or videos they willingly made of themselves – or that they allowed someone else to take.</w:t>
            </w:r>
          </w:p>
          <w:p w:rsidR="00596BEB" w:rsidRPr="00596BEB" w:rsidRDefault="00596BEB" w:rsidP="00596BEB">
            <w:pPr>
              <w:rPr>
                <w:rFonts w:ascii="Arial" w:hAnsi="Arial" w:cs="Arial"/>
                <w:u w:val="single"/>
              </w:rPr>
            </w:pPr>
          </w:p>
        </w:tc>
      </w:tr>
      <w:tr w:rsidR="00596BEB" w:rsidRPr="00596BEB" w:rsidTr="00596BEB">
        <w:tc>
          <w:tcPr>
            <w:tcW w:w="6030" w:type="dxa"/>
          </w:tcPr>
          <w:p w:rsidR="00596BEB" w:rsidRPr="00596BEB" w:rsidRDefault="00596BEB" w:rsidP="00596BEB">
            <w:pPr>
              <w:rPr>
                <w:rFonts w:ascii="Arial" w:hAnsi="Arial" w:cs="Arial"/>
                <w:b/>
                <w:bCs/>
                <w:color w:val="000000" w:themeColor="text1"/>
                <w:lang w:val="es-ES"/>
              </w:rPr>
            </w:pPr>
            <w:r w:rsidRPr="00596BEB">
              <w:rPr>
                <w:rFonts w:ascii="Arial" w:hAnsi="Arial" w:cs="Arial"/>
                <w:b/>
                <w:bCs/>
                <w:color w:val="000000" w:themeColor="text1"/>
                <w:u w:val="single"/>
                <w:lang w:val="es-ES"/>
              </w:rPr>
              <w:t>Cargos criminales</w:t>
            </w:r>
          </w:p>
          <w:p w:rsidR="00596BEB" w:rsidRPr="00596BEB" w:rsidRDefault="00596BEB" w:rsidP="00596BEB">
            <w:pPr>
              <w:rPr>
                <w:rFonts w:ascii="Arial" w:hAnsi="Arial" w:cs="Arial"/>
                <w:color w:val="000000" w:themeColor="text1"/>
                <w:lang w:val="es-ES"/>
              </w:rPr>
            </w:pPr>
            <w:r w:rsidRPr="00596BEB">
              <w:rPr>
                <w:rFonts w:ascii="Arial" w:hAnsi="Arial" w:cs="Arial"/>
                <w:color w:val="000000" w:themeColor="text1"/>
                <w:lang w:val="es-ES"/>
              </w:rPr>
              <w:t xml:space="preserve">La mayoría de los cargos criminales en Pensilvana se deben presentar contra un sospechoso en un plazo de 2 años.  Sin embargo, se pueden presentar algunos cargos de delitos sexuales hasta después de que hayan pasado más de 2 años.  Esto se debe a que muchas de las víctimas de abuso sexual (especialmente los niños) pueden tener miedo de informar sobre lo que sucedió poco después del crimen.  </w:t>
            </w:r>
          </w:p>
          <w:p w:rsidR="00596BEB" w:rsidRPr="00596BEB" w:rsidRDefault="00596BEB" w:rsidP="00596BEB">
            <w:pPr>
              <w:pStyle w:val="ListParagraph"/>
              <w:numPr>
                <w:ilvl w:val="0"/>
                <w:numId w:val="1"/>
              </w:numPr>
              <w:ind w:left="345" w:hanging="345"/>
              <w:rPr>
                <w:rFonts w:ascii="Arial" w:hAnsi="Arial" w:cs="Arial"/>
                <w:color w:val="000000" w:themeColor="text1"/>
                <w:sz w:val="18"/>
                <w:szCs w:val="18"/>
                <w:lang w:val="es-ES"/>
              </w:rPr>
            </w:pPr>
            <w:r w:rsidRPr="00596BEB">
              <w:rPr>
                <w:rFonts w:ascii="Arial" w:hAnsi="Arial" w:cs="Arial"/>
                <w:color w:val="000000" w:themeColor="text1"/>
                <w:sz w:val="18"/>
                <w:szCs w:val="18"/>
                <w:lang w:val="es-ES"/>
              </w:rPr>
              <w:t>Los cargos por agresión sexual se pueden presentar hasta después de 12 años de la agresión de un adulto.</w:t>
            </w:r>
          </w:p>
          <w:p w:rsidR="00596BEB" w:rsidRPr="00596BEB" w:rsidRDefault="00596BEB" w:rsidP="00596BEB">
            <w:pPr>
              <w:pStyle w:val="ListParagraph"/>
              <w:numPr>
                <w:ilvl w:val="0"/>
                <w:numId w:val="1"/>
              </w:numPr>
              <w:ind w:left="345" w:hanging="345"/>
              <w:rPr>
                <w:rFonts w:ascii="Arial" w:hAnsi="Arial" w:cs="Arial"/>
                <w:color w:val="000000" w:themeColor="text1"/>
                <w:sz w:val="18"/>
                <w:szCs w:val="18"/>
                <w:lang w:val="es-ES"/>
              </w:rPr>
            </w:pPr>
            <w:r w:rsidRPr="00596BEB">
              <w:rPr>
                <w:rFonts w:ascii="Arial" w:hAnsi="Arial" w:cs="Arial"/>
                <w:color w:val="000000" w:themeColor="text1"/>
                <w:sz w:val="18"/>
                <w:szCs w:val="18"/>
                <w:lang w:val="es-ES"/>
              </w:rPr>
              <w:t>Una persona puede ser acusada penalmente de agredir de manera sexual a un niño, de 12 a 32 años después de que ese niño cumpla 18 años.   (El número exacto de años depende de si el niño nació antes o después del 27 de agosto de 2002, cuando la ley actual entró en vigor.)</w:t>
            </w:r>
            <w:bookmarkStart w:id="0" w:name="_GoBack"/>
            <w:bookmarkEnd w:id="0"/>
          </w:p>
        </w:tc>
        <w:tc>
          <w:tcPr>
            <w:tcW w:w="4860" w:type="dxa"/>
          </w:tcPr>
          <w:p w:rsidR="00596BEB" w:rsidRPr="00596BEB" w:rsidRDefault="00596BEB" w:rsidP="00596BEB">
            <w:pPr>
              <w:rPr>
                <w:rFonts w:ascii="Arial" w:hAnsi="Arial" w:cs="Arial"/>
                <w:b/>
                <w:bCs/>
                <w:lang w:val="en"/>
              </w:rPr>
            </w:pPr>
            <w:r w:rsidRPr="00596BEB">
              <w:rPr>
                <w:rFonts w:ascii="Arial" w:hAnsi="Arial" w:cs="Arial"/>
                <w:b/>
                <w:bCs/>
                <w:u w:val="single"/>
                <w:lang w:val="en"/>
              </w:rPr>
              <w:t>Criminal Charges</w:t>
            </w:r>
          </w:p>
          <w:p w:rsidR="00596BEB" w:rsidRPr="00596BEB" w:rsidRDefault="00596BEB" w:rsidP="00596BEB">
            <w:pPr>
              <w:rPr>
                <w:rFonts w:ascii="Arial" w:hAnsi="Arial" w:cs="Arial"/>
                <w:lang w:val="en"/>
              </w:rPr>
            </w:pPr>
            <w:r w:rsidRPr="00596BEB">
              <w:rPr>
                <w:rFonts w:ascii="Arial" w:hAnsi="Arial" w:cs="Arial"/>
                <w:lang w:val="en"/>
              </w:rPr>
              <w:t xml:space="preserve">Most criminal charges in Pennsylvania </w:t>
            </w:r>
            <w:proofErr w:type="gramStart"/>
            <w:r w:rsidRPr="00596BEB">
              <w:rPr>
                <w:rFonts w:ascii="Arial" w:hAnsi="Arial" w:cs="Arial"/>
                <w:lang w:val="en"/>
              </w:rPr>
              <w:t>must be brought</w:t>
            </w:r>
            <w:proofErr w:type="gramEnd"/>
            <w:r w:rsidRPr="00596BEB">
              <w:rPr>
                <w:rFonts w:ascii="Arial" w:hAnsi="Arial" w:cs="Arial"/>
                <w:lang w:val="en"/>
              </w:rPr>
              <w:t xml:space="preserve"> against a suspect within 2 years.  </w:t>
            </w:r>
            <w:proofErr w:type="gramStart"/>
            <w:r w:rsidRPr="00596BEB">
              <w:rPr>
                <w:rFonts w:ascii="Arial" w:hAnsi="Arial" w:cs="Arial"/>
                <w:lang w:val="en"/>
              </w:rPr>
              <w:t>But</w:t>
            </w:r>
            <w:proofErr w:type="gramEnd"/>
            <w:r w:rsidRPr="00596BEB">
              <w:rPr>
                <w:rFonts w:ascii="Arial" w:hAnsi="Arial" w:cs="Arial"/>
                <w:lang w:val="en"/>
              </w:rPr>
              <w:t xml:space="preserve">, some sex crime charges may be made after more than 2 years has passed.  This is because many sexual abuse victims – especially children – may be afraid to report what happened soon after the crime.  </w:t>
            </w:r>
          </w:p>
          <w:p w:rsidR="00596BEB" w:rsidRPr="00596BEB" w:rsidRDefault="00596BEB" w:rsidP="00596BEB">
            <w:pPr>
              <w:pStyle w:val="ListParagraph"/>
              <w:numPr>
                <w:ilvl w:val="0"/>
                <w:numId w:val="1"/>
              </w:numPr>
              <w:rPr>
                <w:rFonts w:ascii="Arial" w:hAnsi="Arial" w:cs="Arial"/>
                <w:sz w:val="18"/>
                <w:szCs w:val="18"/>
                <w:lang w:val="en"/>
              </w:rPr>
            </w:pPr>
            <w:r w:rsidRPr="00596BEB">
              <w:rPr>
                <w:rFonts w:ascii="Arial" w:hAnsi="Arial" w:cs="Arial"/>
                <w:sz w:val="18"/>
                <w:szCs w:val="18"/>
                <w:lang w:val="en"/>
              </w:rPr>
              <w:t xml:space="preserve">Sexual assault charges </w:t>
            </w:r>
            <w:proofErr w:type="gramStart"/>
            <w:r w:rsidRPr="00596BEB">
              <w:rPr>
                <w:rFonts w:ascii="Arial" w:hAnsi="Arial" w:cs="Arial"/>
                <w:sz w:val="18"/>
                <w:szCs w:val="18"/>
                <w:lang w:val="en"/>
              </w:rPr>
              <w:t>can be filed</w:t>
            </w:r>
            <w:proofErr w:type="gramEnd"/>
            <w:r w:rsidRPr="00596BEB">
              <w:rPr>
                <w:rFonts w:ascii="Arial" w:hAnsi="Arial" w:cs="Arial"/>
                <w:sz w:val="18"/>
                <w:szCs w:val="18"/>
                <w:lang w:val="en"/>
              </w:rPr>
              <w:t xml:space="preserve"> for up to 12 years after the sexual assault of an adult.</w:t>
            </w:r>
          </w:p>
          <w:p w:rsidR="00596BEB" w:rsidRPr="00596BEB" w:rsidRDefault="00596BEB" w:rsidP="00596BEB">
            <w:pPr>
              <w:pStyle w:val="ListParagraph"/>
              <w:numPr>
                <w:ilvl w:val="0"/>
                <w:numId w:val="1"/>
              </w:numPr>
              <w:rPr>
                <w:rFonts w:ascii="Arial" w:hAnsi="Arial" w:cs="Arial"/>
                <w:sz w:val="22"/>
                <w:szCs w:val="22"/>
                <w:lang w:val="en"/>
              </w:rPr>
            </w:pPr>
            <w:r w:rsidRPr="00596BEB">
              <w:rPr>
                <w:rFonts w:ascii="Arial" w:hAnsi="Arial" w:cs="Arial"/>
                <w:sz w:val="18"/>
                <w:szCs w:val="18"/>
                <w:lang w:val="en"/>
              </w:rPr>
              <w:t xml:space="preserve">Someone </w:t>
            </w:r>
            <w:proofErr w:type="gramStart"/>
            <w:r w:rsidRPr="00596BEB">
              <w:rPr>
                <w:rFonts w:ascii="Arial" w:hAnsi="Arial" w:cs="Arial"/>
                <w:sz w:val="18"/>
                <w:szCs w:val="18"/>
                <w:lang w:val="en"/>
              </w:rPr>
              <w:t>can be criminally charged</w:t>
            </w:r>
            <w:proofErr w:type="gramEnd"/>
            <w:r w:rsidRPr="00596BEB">
              <w:rPr>
                <w:rFonts w:ascii="Arial" w:hAnsi="Arial" w:cs="Arial"/>
                <w:sz w:val="18"/>
                <w:szCs w:val="18"/>
                <w:lang w:val="en"/>
              </w:rPr>
              <w:t xml:space="preserve"> with sexually assaulting a child 12-32 years after that child turns 18.   (The exact number of years depends on whether the child was born before or after August 27, 2002, when the current law went into effect.</w:t>
            </w:r>
          </w:p>
        </w:tc>
      </w:tr>
    </w:tbl>
    <w:p w:rsidR="00C1375C" w:rsidRDefault="00C1375C" w:rsidP="00567690"/>
    <w:sectPr w:rsidR="00C1375C"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Leelawadee UI Semilight"/>
    <w:panose1 w:val="0101010101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oolBoran">
    <w:altName w:val="Leelawadee UI"/>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304925" cy="461645"/>
              <wp:effectExtent l="0" t="0" r="9525" b="0"/>
              <wp:wrapTight wrapText="bothSides">
                <wp:wrapPolygon edited="0">
                  <wp:start x="0" y="0"/>
                  <wp:lineTo x="0" y="20501"/>
                  <wp:lineTo x="21442" y="20501"/>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30492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BFC7364"/>
    <w:multiLevelType w:val="hybridMultilevel"/>
    <w:tmpl w:val="9C76D532"/>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B495D"/>
    <w:rsid w:val="002F0011"/>
    <w:rsid w:val="00351C47"/>
    <w:rsid w:val="003A05C3"/>
    <w:rsid w:val="00553ED6"/>
    <w:rsid w:val="00567690"/>
    <w:rsid w:val="00596BEB"/>
    <w:rsid w:val="0076631A"/>
    <w:rsid w:val="00950D84"/>
    <w:rsid w:val="00A57BBB"/>
    <w:rsid w:val="00B94D49"/>
    <w:rsid w:val="00BB3C2B"/>
    <w:rsid w:val="00C1375C"/>
    <w:rsid w:val="00CE318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1826C"/>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A380-034A-494B-AE60-CA92732F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dcterms:created xsi:type="dcterms:W3CDTF">2017-06-01T18:57:00Z</dcterms:created>
  <dcterms:modified xsi:type="dcterms:W3CDTF">2017-06-01T19:05:00Z</dcterms:modified>
</cp:coreProperties>
</file>