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8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0"/>
        <w:gridCol w:w="4770"/>
      </w:tblGrid>
      <w:tr w:rsidR="00442651" w:rsidRPr="00442651" w:rsidTr="00442651">
        <w:tc>
          <w:tcPr>
            <w:tcW w:w="6120" w:type="dxa"/>
          </w:tcPr>
          <w:p w:rsidR="00442651" w:rsidRPr="00442651" w:rsidRDefault="00442651" w:rsidP="00442651">
            <w:pPr>
              <w:jc w:val="center"/>
              <w:rPr>
                <w:rFonts w:ascii="Arial" w:hAnsi="Arial" w:cs="Arial"/>
                <w:b/>
                <w:bCs/>
                <w:color w:val="000000" w:themeColor="text1"/>
                <w:lang w:val="es-ES"/>
              </w:rPr>
            </w:pPr>
            <w:r w:rsidRPr="00442651">
              <w:rPr>
                <w:rFonts w:ascii="Arial" w:hAnsi="Arial" w:cs="Arial"/>
                <w:b/>
                <w:bCs/>
                <w:color w:val="000000" w:themeColor="text1"/>
                <w:u w:val="single"/>
                <w:lang w:val="es-ES"/>
              </w:rPr>
              <w:t>S</w:t>
            </w:r>
            <w:r w:rsidRPr="00442651">
              <w:rPr>
                <w:rFonts w:ascii="Arial" w:hAnsi="Arial" w:cs="Arial"/>
                <w:b/>
                <w:bCs/>
                <w:color w:val="000000" w:themeColor="text1"/>
                <w:u w:val="single"/>
                <w:lang w:val="es-ES"/>
              </w:rPr>
              <w:t>exualidad</w:t>
            </w:r>
          </w:p>
          <w:p w:rsid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La sexualidad es una parte natural de la vida.  Es importante hablar de sexualidad, aunque no siempre es fácil.  Tener información precisa sobre la sexualidad y el comportamiento sexual puede ayudar a una persona a:</w:t>
            </w:r>
          </w:p>
          <w:p w:rsidR="00442651" w:rsidRPr="00442651" w:rsidRDefault="00442651" w:rsidP="00442651">
            <w:pPr>
              <w:rPr>
                <w:rFonts w:ascii="Arial" w:hAnsi="Arial" w:cs="Arial"/>
                <w:color w:val="000000" w:themeColor="text1"/>
                <w:lang w:val="es-ES"/>
              </w:rPr>
            </w:pP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Mantenerse sano</w:t>
            </w: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Sentirse cerca de otra persona</w:t>
            </w: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Sentirse bien consigo mismo</w:t>
            </w: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Dar y recibir placer</w:t>
            </w: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Planear el número de hijos</w:t>
            </w: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Evitar algunas malas experiencias sexuales</w:t>
            </w:r>
          </w:p>
          <w:p w:rsidR="00442651" w:rsidRPr="00442651" w:rsidRDefault="00442651" w:rsidP="00442651">
            <w:pPr>
              <w:pStyle w:val="ListParagraph"/>
              <w:numPr>
                <w:ilvl w:val="0"/>
                <w:numId w:val="6"/>
              </w:numPr>
              <w:ind w:left="720"/>
              <w:rPr>
                <w:rFonts w:ascii="Arial" w:hAnsi="Arial" w:cs="Arial"/>
                <w:color w:val="000000" w:themeColor="text1"/>
                <w:sz w:val="22"/>
                <w:szCs w:val="22"/>
                <w:lang w:val="es-ES"/>
              </w:rPr>
            </w:pPr>
            <w:r w:rsidRPr="00442651">
              <w:rPr>
                <w:rFonts w:ascii="Arial" w:hAnsi="Arial" w:cs="Arial"/>
                <w:color w:val="000000" w:themeColor="text1"/>
                <w:sz w:val="22"/>
                <w:szCs w:val="22"/>
                <w:lang w:val="es-ES"/>
              </w:rPr>
              <w:t>Tomar decisiones acertadas acerca de la actividad sexual</w:t>
            </w:r>
          </w:p>
          <w:p w:rsidR="00442651" w:rsidRPr="00442651" w:rsidRDefault="00442651" w:rsidP="00442651">
            <w:pPr>
              <w:jc w:val="center"/>
              <w:rPr>
                <w:rFonts w:ascii="Arial" w:hAnsi="Arial" w:cs="Arial"/>
                <w:color w:val="000000" w:themeColor="text1"/>
                <w:u w:val="single"/>
                <w:lang w:val="es-ES"/>
              </w:rPr>
            </w:pPr>
          </w:p>
        </w:tc>
        <w:tc>
          <w:tcPr>
            <w:tcW w:w="4770" w:type="dxa"/>
          </w:tcPr>
          <w:p w:rsidR="00442651" w:rsidRPr="00442651" w:rsidRDefault="00442651" w:rsidP="00442651">
            <w:pPr>
              <w:jc w:val="center"/>
              <w:rPr>
                <w:rFonts w:ascii="Arial" w:hAnsi="Arial" w:cs="Arial"/>
                <w:b/>
                <w:bCs/>
                <w:color w:val="000000" w:themeColor="text1"/>
              </w:rPr>
            </w:pPr>
            <w:r w:rsidRPr="00442651">
              <w:rPr>
                <w:rFonts w:ascii="Arial" w:hAnsi="Arial" w:cs="Arial"/>
                <w:b/>
                <w:bCs/>
                <w:color w:val="000000" w:themeColor="text1"/>
                <w:u w:val="single"/>
              </w:rPr>
              <w:t>Sexuality</w:t>
            </w:r>
          </w:p>
          <w:p w:rsidR="00442651" w:rsidRPr="00442651" w:rsidRDefault="00442651" w:rsidP="00442651">
            <w:pPr>
              <w:rPr>
                <w:rFonts w:ascii="Arial" w:hAnsi="Arial" w:cs="Arial"/>
                <w:color w:val="000000" w:themeColor="text1"/>
              </w:rPr>
            </w:pPr>
            <w:r w:rsidRPr="00442651">
              <w:rPr>
                <w:rFonts w:ascii="Arial" w:hAnsi="Arial" w:cs="Arial"/>
                <w:color w:val="000000" w:themeColor="text1"/>
              </w:rPr>
              <w:t>Sexuality is a natural part of life.  It is important to talk about sexuality, even if it is not always easy.  Having accurate information about sexuality and sexual behavior can help a person:</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Stay healthy</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Feel close to another person</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Feel good about themselves</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Give and receive pleasure</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Determine the size of their family</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Avoid some bad sexual experiences</w:t>
            </w:r>
          </w:p>
          <w:p w:rsidR="00442651" w:rsidRPr="00442651" w:rsidRDefault="00442651" w:rsidP="00442651">
            <w:pPr>
              <w:pStyle w:val="ListParagraph"/>
              <w:numPr>
                <w:ilvl w:val="0"/>
                <w:numId w:val="6"/>
              </w:numPr>
              <w:rPr>
                <w:rFonts w:ascii="Arial" w:hAnsi="Arial" w:cs="Arial"/>
                <w:color w:val="000000" w:themeColor="text1"/>
                <w:sz w:val="22"/>
                <w:szCs w:val="22"/>
              </w:rPr>
            </w:pPr>
            <w:r w:rsidRPr="00442651">
              <w:rPr>
                <w:rFonts w:ascii="Arial" w:hAnsi="Arial" w:cs="Arial"/>
                <w:color w:val="000000" w:themeColor="text1"/>
                <w:sz w:val="22"/>
                <w:szCs w:val="22"/>
              </w:rPr>
              <w:t>Make wise decisions about sexual activity</w:t>
            </w:r>
          </w:p>
          <w:p w:rsidR="00442651" w:rsidRPr="00442651" w:rsidRDefault="00442651" w:rsidP="00442651">
            <w:pPr>
              <w:jc w:val="center"/>
              <w:rPr>
                <w:rFonts w:ascii="Arial" w:hAnsi="Arial" w:cs="Arial"/>
                <w:color w:val="000000" w:themeColor="text1"/>
                <w:u w:val="single"/>
              </w:rPr>
            </w:pPr>
          </w:p>
        </w:tc>
      </w:tr>
      <w:tr w:rsidR="00442651" w:rsidRPr="00442651" w:rsidTr="00442651">
        <w:tc>
          <w:tcPr>
            <w:tcW w:w="6120" w:type="dxa"/>
          </w:tcPr>
          <w:p w:rsidR="00442651" w:rsidRPr="00442651" w:rsidRDefault="00442651" w:rsidP="00442651">
            <w:pPr>
              <w:jc w:val="center"/>
              <w:rPr>
                <w:rFonts w:ascii="Arial" w:hAnsi="Arial" w:cs="Arial"/>
                <w:b/>
                <w:bCs/>
                <w:color w:val="000000" w:themeColor="text1"/>
                <w:lang w:val="es-ES"/>
              </w:rPr>
            </w:pPr>
            <w:r w:rsidRPr="00442651">
              <w:rPr>
                <w:rFonts w:ascii="Arial" w:hAnsi="Arial" w:cs="Arial"/>
                <w:b/>
                <w:bCs/>
                <w:color w:val="000000" w:themeColor="text1"/>
                <w:u w:val="single"/>
                <w:lang w:val="es-ES"/>
              </w:rPr>
              <w:t>C</w:t>
            </w:r>
            <w:r w:rsidRPr="00442651">
              <w:rPr>
                <w:rFonts w:ascii="Arial" w:hAnsi="Arial" w:cs="Arial"/>
                <w:b/>
                <w:bCs/>
                <w:color w:val="000000" w:themeColor="text1"/>
                <w:u w:val="single"/>
                <w:lang w:val="es-ES"/>
              </w:rPr>
              <w:t>onsentimiento Sexual</w:t>
            </w: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 xml:space="preserve">La ley requiere que la actividad sexual entre dos personas debe ser consensual.  Esto significa que ambas personas deben: </w:t>
            </w:r>
          </w:p>
          <w:p w:rsidR="00442651" w:rsidRPr="00442651" w:rsidRDefault="00442651" w:rsidP="00442651">
            <w:pPr>
              <w:pStyle w:val="ListParagraph"/>
              <w:numPr>
                <w:ilvl w:val="0"/>
                <w:numId w:val="3"/>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Comprender la naturaleza sexual del comportamiento</w:t>
            </w:r>
          </w:p>
          <w:p w:rsidR="00442651" w:rsidRPr="00442651" w:rsidRDefault="00442651" w:rsidP="00442651">
            <w:pPr>
              <w:pStyle w:val="ListParagraph"/>
              <w:numPr>
                <w:ilvl w:val="0"/>
                <w:numId w:val="3"/>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Aceptar el acto sexual voluntariamente</w:t>
            </w:r>
          </w:p>
          <w:p w:rsidR="00442651" w:rsidRPr="00442651" w:rsidRDefault="00442651" w:rsidP="00442651">
            <w:pPr>
              <w:pStyle w:val="ListParagraph"/>
              <w:numPr>
                <w:ilvl w:val="0"/>
                <w:numId w:val="3"/>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Tener la capacidad legal para consentir al acto sexual</w:t>
            </w:r>
          </w:p>
          <w:p w:rsidR="00442651" w:rsidRPr="00442651" w:rsidRDefault="00442651" w:rsidP="00442651">
            <w:pPr>
              <w:rPr>
                <w:rFonts w:ascii="Arial" w:hAnsi="Arial" w:cs="Arial"/>
                <w:color w:val="000000" w:themeColor="text1"/>
                <w:lang w:val="es-ES"/>
              </w:rPr>
            </w:pP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Una persona que se ve amenazada u obligada a tener relaciones sexuales, no aprueba la actividad sexual.  Es ilegal obligar o amenazar a una persona a tener relaciones sexuales.</w:t>
            </w:r>
          </w:p>
          <w:p w:rsidR="00442651" w:rsidRPr="00442651" w:rsidRDefault="00442651" w:rsidP="00442651">
            <w:pPr>
              <w:rPr>
                <w:rFonts w:ascii="Arial" w:hAnsi="Arial" w:cs="Arial"/>
                <w:color w:val="000000" w:themeColor="text1"/>
                <w:lang w:val="es-ES"/>
              </w:rPr>
            </w:pP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 xml:space="preserve">Esposos y esposas deben dar su consentimiento libre a la actividad sexual con sus cónyuges.  Un esposo o esposa que amenace u obligue a su cónyuge a tener relaciones sexuales, puede ser acusado de cometer un delito sexual.  </w:t>
            </w:r>
          </w:p>
          <w:p w:rsidR="00442651" w:rsidRPr="00442651" w:rsidRDefault="00442651" w:rsidP="00442651">
            <w:pPr>
              <w:rPr>
                <w:rFonts w:ascii="Arial" w:hAnsi="Arial" w:cs="Arial"/>
                <w:color w:val="000000" w:themeColor="text1"/>
                <w:lang w:val="es-ES"/>
              </w:rPr>
            </w:pP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Una persona que consienta tener relaciones sexuales puede cambiar de opinión, incluso durante la actividad sexual.  Si la persona cambia de opinión, la otra persona tiene que detener la actividad sexual inmediatamente.  Si la otra persona no detiene la actividad, puede ser acusada ​​de cometer un delito sexual.</w:t>
            </w:r>
          </w:p>
          <w:p w:rsidR="00442651" w:rsidRPr="00442651" w:rsidRDefault="00442651" w:rsidP="00442651">
            <w:pPr>
              <w:jc w:val="center"/>
              <w:rPr>
                <w:rFonts w:ascii="Arial" w:hAnsi="Arial" w:cs="Arial"/>
                <w:color w:val="000000" w:themeColor="text1"/>
                <w:u w:val="single"/>
                <w:lang w:val="es-ES"/>
              </w:rPr>
            </w:pPr>
          </w:p>
        </w:tc>
        <w:tc>
          <w:tcPr>
            <w:tcW w:w="4770" w:type="dxa"/>
          </w:tcPr>
          <w:p w:rsidR="00442651" w:rsidRPr="00442651" w:rsidRDefault="00442651" w:rsidP="00442651">
            <w:pPr>
              <w:jc w:val="center"/>
              <w:rPr>
                <w:rFonts w:ascii="Arial" w:hAnsi="Arial" w:cs="Arial"/>
                <w:b/>
                <w:bCs/>
                <w:color w:val="000000" w:themeColor="text1"/>
              </w:rPr>
            </w:pPr>
            <w:r w:rsidRPr="00442651">
              <w:rPr>
                <w:rFonts w:ascii="Arial" w:hAnsi="Arial" w:cs="Arial"/>
                <w:b/>
                <w:bCs/>
                <w:color w:val="000000" w:themeColor="text1"/>
                <w:u w:val="single"/>
              </w:rPr>
              <w:t>Sexual Consent</w:t>
            </w: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The law requires that sexual activity between two people be consensual.  This means that both people must: </w:t>
            </w:r>
          </w:p>
          <w:p w:rsidR="00442651" w:rsidRPr="00442651" w:rsidRDefault="00442651" w:rsidP="00442651">
            <w:pPr>
              <w:pStyle w:val="ListParagraph"/>
              <w:numPr>
                <w:ilvl w:val="0"/>
                <w:numId w:val="3"/>
              </w:numPr>
              <w:ind w:left="345"/>
              <w:rPr>
                <w:rFonts w:ascii="Arial" w:hAnsi="Arial" w:cs="Arial"/>
                <w:color w:val="000000" w:themeColor="text1"/>
                <w:sz w:val="22"/>
                <w:szCs w:val="22"/>
                <w:lang w:val="en"/>
              </w:rPr>
            </w:pPr>
            <w:r w:rsidRPr="00442651">
              <w:rPr>
                <w:rFonts w:ascii="Arial" w:hAnsi="Arial" w:cs="Arial"/>
                <w:color w:val="000000" w:themeColor="text1"/>
                <w:sz w:val="22"/>
                <w:szCs w:val="22"/>
                <w:lang w:val="en"/>
              </w:rPr>
              <w:t>Understand the sexual nature of the behavior</w:t>
            </w:r>
          </w:p>
          <w:p w:rsidR="00442651" w:rsidRPr="00442651" w:rsidRDefault="00442651" w:rsidP="00442651">
            <w:pPr>
              <w:pStyle w:val="ListParagraph"/>
              <w:numPr>
                <w:ilvl w:val="0"/>
                <w:numId w:val="3"/>
              </w:numPr>
              <w:ind w:left="345"/>
              <w:rPr>
                <w:rFonts w:ascii="Arial" w:hAnsi="Arial" w:cs="Arial"/>
                <w:color w:val="000000" w:themeColor="text1"/>
                <w:sz w:val="22"/>
                <w:szCs w:val="22"/>
                <w:lang w:val="en"/>
              </w:rPr>
            </w:pPr>
            <w:r w:rsidRPr="00442651">
              <w:rPr>
                <w:rFonts w:ascii="Arial" w:hAnsi="Arial" w:cs="Arial"/>
                <w:color w:val="000000" w:themeColor="text1"/>
                <w:sz w:val="22"/>
                <w:szCs w:val="22"/>
                <w:lang w:val="en"/>
              </w:rPr>
              <w:t>Willingly agree to the sexual act</w:t>
            </w:r>
          </w:p>
          <w:p w:rsidR="00442651" w:rsidRPr="00442651" w:rsidRDefault="00442651" w:rsidP="00442651">
            <w:pPr>
              <w:pStyle w:val="ListParagraph"/>
              <w:numPr>
                <w:ilvl w:val="0"/>
                <w:numId w:val="3"/>
              </w:numPr>
              <w:ind w:left="345"/>
              <w:rPr>
                <w:rFonts w:ascii="Arial" w:hAnsi="Arial" w:cs="Arial"/>
                <w:color w:val="000000" w:themeColor="text1"/>
                <w:sz w:val="22"/>
                <w:szCs w:val="22"/>
                <w:lang w:val="en"/>
              </w:rPr>
            </w:pPr>
            <w:r w:rsidRPr="00442651">
              <w:rPr>
                <w:rFonts w:ascii="Arial" w:hAnsi="Arial" w:cs="Arial"/>
                <w:color w:val="000000" w:themeColor="text1"/>
                <w:sz w:val="22"/>
                <w:szCs w:val="22"/>
                <w:lang w:val="en"/>
              </w:rPr>
              <w:t>Have the legal ability to consent to the sexual act</w:t>
            </w: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A person who is threatened or forced to have sex does not consent to sexual activity.  It is illegal to force or threaten someone to have sex.</w:t>
            </w: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Husbands and wives must freely consent to sexual activity with their spouses.  A husband or wife who threatens or forces their spouse to have sex </w:t>
            </w:r>
            <w:proofErr w:type="gramStart"/>
            <w:r w:rsidRPr="00442651">
              <w:rPr>
                <w:rFonts w:ascii="Arial" w:hAnsi="Arial" w:cs="Arial"/>
                <w:color w:val="000000" w:themeColor="text1"/>
                <w:lang w:val="en"/>
              </w:rPr>
              <w:t>can be charged</w:t>
            </w:r>
            <w:proofErr w:type="gramEnd"/>
            <w:r w:rsidRPr="00442651">
              <w:rPr>
                <w:rFonts w:ascii="Arial" w:hAnsi="Arial" w:cs="Arial"/>
                <w:color w:val="000000" w:themeColor="text1"/>
                <w:lang w:val="en"/>
              </w:rPr>
              <w:t xml:space="preserve"> with a sex crime.  </w:t>
            </w: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A person who consents to sexual activity can change their mind, even during sexual activity.  If the person changes their mind, the other person must stop sexual activity right away.  If the other person </w:t>
            </w:r>
            <w:proofErr w:type="gramStart"/>
            <w:r w:rsidRPr="00442651">
              <w:rPr>
                <w:rFonts w:ascii="Arial" w:hAnsi="Arial" w:cs="Arial"/>
                <w:color w:val="000000" w:themeColor="text1"/>
                <w:lang w:val="en"/>
              </w:rPr>
              <w:t>doesn’t</w:t>
            </w:r>
            <w:proofErr w:type="gramEnd"/>
            <w:r w:rsidRPr="00442651">
              <w:rPr>
                <w:rFonts w:ascii="Arial" w:hAnsi="Arial" w:cs="Arial"/>
                <w:color w:val="000000" w:themeColor="text1"/>
                <w:lang w:val="en"/>
              </w:rPr>
              <w:t xml:space="preserve"> stop the activity, they can be charged with a sex crime.</w:t>
            </w:r>
          </w:p>
          <w:p w:rsidR="00442651" w:rsidRPr="00442651" w:rsidRDefault="00442651" w:rsidP="00442651">
            <w:pPr>
              <w:rPr>
                <w:rFonts w:ascii="Arial" w:hAnsi="Arial" w:cs="Arial"/>
                <w:color w:val="000000" w:themeColor="text1"/>
                <w:u w:val="single"/>
              </w:rPr>
            </w:pPr>
          </w:p>
        </w:tc>
      </w:tr>
      <w:tr w:rsidR="00442651" w:rsidRPr="00442651" w:rsidTr="00442651">
        <w:tc>
          <w:tcPr>
            <w:tcW w:w="6120" w:type="dxa"/>
          </w:tcPr>
          <w:p w:rsidR="00442651" w:rsidRPr="00442651" w:rsidRDefault="00442651" w:rsidP="00442651">
            <w:pPr>
              <w:rPr>
                <w:rFonts w:ascii="Arial" w:hAnsi="Arial" w:cs="Arial"/>
                <w:b/>
                <w:bCs/>
                <w:color w:val="000000" w:themeColor="text1"/>
                <w:u w:val="single"/>
                <w:lang w:val="es-ES"/>
              </w:rPr>
            </w:pPr>
            <w:r w:rsidRPr="00442651">
              <w:rPr>
                <w:rFonts w:ascii="Arial" w:hAnsi="Arial" w:cs="Arial"/>
                <w:b/>
                <w:bCs/>
                <w:color w:val="000000" w:themeColor="text1"/>
                <w:u w:val="single"/>
                <w:lang w:val="es-ES"/>
              </w:rPr>
              <w:t>Capacidad L</w:t>
            </w:r>
            <w:r w:rsidRPr="00442651">
              <w:rPr>
                <w:rFonts w:ascii="Arial" w:hAnsi="Arial" w:cs="Arial"/>
                <w:b/>
                <w:bCs/>
                <w:color w:val="000000" w:themeColor="text1"/>
                <w:u w:val="single"/>
                <w:lang w:val="es-ES"/>
              </w:rPr>
              <w:t xml:space="preserve">egal </w:t>
            </w:r>
            <w:r w:rsidRPr="00442651">
              <w:rPr>
                <w:rFonts w:ascii="Arial" w:hAnsi="Arial" w:cs="Arial"/>
                <w:b/>
                <w:bCs/>
                <w:color w:val="000000" w:themeColor="text1"/>
                <w:u w:val="single"/>
                <w:lang w:val="es-ES"/>
              </w:rPr>
              <w:t>P</w:t>
            </w:r>
            <w:r w:rsidRPr="00442651">
              <w:rPr>
                <w:rFonts w:ascii="Arial" w:hAnsi="Arial" w:cs="Arial"/>
                <w:b/>
                <w:bCs/>
                <w:color w:val="000000" w:themeColor="text1"/>
                <w:u w:val="single"/>
                <w:lang w:val="es-ES"/>
              </w:rPr>
              <w:t xml:space="preserve">ara </w:t>
            </w:r>
            <w:r w:rsidRPr="00442651">
              <w:rPr>
                <w:rFonts w:ascii="Arial" w:hAnsi="Arial" w:cs="Arial"/>
                <w:b/>
                <w:bCs/>
                <w:color w:val="000000" w:themeColor="text1"/>
                <w:u w:val="single"/>
                <w:lang w:val="es-ES"/>
              </w:rPr>
              <w:t>C</w:t>
            </w:r>
            <w:r w:rsidRPr="00442651">
              <w:rPr>
                <w:rFonts w:ascii="Arial" w:hAnsi="Arial" w:cs="Arial"/>
                <w:b/>
                <w:bCs/>
                <w:color w:val="000000" w:themeColor="text1"/>
                <w:u w:val="single"/>
                <w:lang w:val="es-ES"/>
              </w:rPr>
              <w:t>onsentir</w:t>
            </w: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 xml:space="preserve">Es ilegal tener relaciones sexuales con una persona que no tiene la capacidad legal para dar su consentimiento para la actividad sexual.  </w:t>
            </w:r>
          </w:p>
          <w:p w:rsidR="00442651" w:rsidRPr="00442651" w:rsidRDefault="00442651" w:rsidP="00442651">
            <w:pPr>
              <w:rPr>
                <w:rFonts w:ascii="Arial" w:hAnsi="Arial" w:cs="Arial"/>
                <w:color w:val="000000" w:themeColor="text1"/>
                <w:lang w:val="es-ES"/>
              </w:rPr>
            </w:pPr>
          </w:p>
          <w:p w:rsidR="00442651" w:rsidRDefault="00442651" w:rsidP="00442651">
            <w:pPr>
              <w:rPr>
                <w:rFonts w:ascii="Arial" w:hAnsi="Arial" w:cs="Arial"/>
                <w:color w:val="000000" w:themeColor="text1"/>
                <w:lang w:val="es-ES"/>
              </w:rPr>
            </w:pPr>
          </w:p>
          <w:p w:rsid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En Pensilvana, una persona no tiene la capacidad legal para dar su consentimiento para la actividad sexual si:</w:t>
            </w:r>
          </w:p>
          <w:p w:rsidR="00442651" w:rsidRPr="00442651" w:rsidRDefault="00442651" w:rsidP="00442651">
            <w:pPr>
              <w:rPr>
                <w:rFonts w:ascii="Arial" w:hAnsi="Arial" w:cs="Arial"/>
                <w:color w:val="000000" w:themeColor="text1"/>
                <w:lang w:val="es-ES"/>
              </w:rPr>
            </w:pPr>
          </w:p>
          <w:p w:rsidR="00442651" w:rsidRPr="00442651" w:rsidRDefault="00442651" w:rsidP="00442651">
            <w:pPr>
              <w:pStyle w:val="ListParagraph"/>
              <w:numPr>
                <w:ilvl w:val="0"/>
                <w:numId w:val="2"/>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Es menor de 13 años de edad</w:t>
            </w:r>
          </w:p>
          <w:p w:rsidR="00442651" w:rsidRPr="00442651" w:rsidRDefault="00442651" w:rsidP="00442651">
            <w:pPr>
              <w:pStyle w:val="ListParagraph"/>
              <w:numPr>
                <w:ilvl w:val="0"/>
                <w:numId w:val="2"/>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Está dormida</w:t>
            </w:r>
          </w:p>
          <w:p w:rsidR="00442651" w:rsidRPr="00442651" w:rsidRDefault="00442651" w:rsidP="00442651">
            <w:pPr>
              <w:pStyle w:val="ListParagraph"/>
              <w:numPr>
                <w:ilvl w:val="0"/>
                <w:numId w:val="2"/>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Está inconsciente</w:t>
            </w:r>
          </w:p>
          <w:p w:rsidR="00442651" w:rsidRPr="00442651" w:rsidRDefault="00442651" w:rsidP="00442651">
            <w:pPr>
              <w:pStyle w:val="ListParagraph"/>
              <w:numPr>
                <w:ilvl w:val="0"/>
                <w:numId w:val="2"/>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Es discapacitada mental grave</w:t>
            </w:r>
          </w:p>
          <w:p w:rsidR="00442651" w:rsidRPr="00442651" w:rsidRDefault="00442651" w:rsidP="00442651">
            <w:pPr>
              <w:pStyle w:val="ListParagraph"/>
              <w:numPr>
                <w:ilvl w:val="0"/>
                <w:numId w:val="2"/>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 xml:space="preserve">Está seriamente afectada por las drogas o el alcohol </w:t>
            </w:r>
          </w:p>
          <w:p w:rsidR="00442651" w:rsidRPr="00442651" w:rsidRDefault="00442651" w:rsidP="00442651">
            <w:pPr>
              <w:rPr>
                <w:rFonts w:ascii="Arial" w:hAnsi="Arial" w:cs="Arial"/>
                <w:color w:val="000000" w:themeColor="text1"/>
                <w:lang w:val="es-ES"/>
              </w:rPr>
            </w:pP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 xml:space="preserve">Las mujeres y hombres de 13 a 15 años de edad solo pueden consentir tener relaciones sexuales con personas cuya edad no llegue a ser 4 años mayor que la de ellos.  </w:t>
            </w:r>
          </w:p>
          <w:p w:rsidR="00442651" w:rsidRPr="00442651" w:rsidRDefault="00442651" w:rsidP="00442651">
            <w:pPr>
              <w:rPr>
                <w:rFonts w:ascii="Arial" w:hAnsi="Arial" w:cs="Arial"/>
                <w:color w:val="000000" w:themeColor="text1"/>
                <w:lang w:val="es-ES"/>
              </w:rPr>
            </w:pPr>
          </w:p>
          <w:p w:rsidR="00442651" w:rsidRPr="00442651" w:rsidRDefault="00442651" w:rsidP="00442651">
            <w:pPr>
              <w:ind w:left="720"/>
              <w:rPr>
                <w:rFonts w:ascii="Arial" w:hAnsi="Arial" w:cs="Arial"/>
                <w:color w:val="000000" w:themeColor="text1"/>
                <w:lang w:val="es-ES"/>
              </w:rPr>
            </w:pPr>
            <w:r w:rsidRPr="00442651">
              <w:rPr>
                <w:rFonts w:ascii="Arial" w:hAnsi="Arial" w:cs="Arial"/>
                <w:color w:val="000000" w:themeColor="text1"/>
                <w:lang w:val="es-ES"/>
              </w:rPr>
              <w:t>Ejemplo: una persona de 13 años de edad, que nació el 1° de enero, puede consentir legalmente tener relaciones sexuales con alguien de 16 años de edad, pero no con una persona que cumple 17 años el 1° de enero.</w:t>
            </w:r>
          </w:p>
          <w:p w:rsidR="00442651" w:rsidRPr="00442651" w:rsidRDefault="00442651" w:rsidP="00442651">
            <w:pPr>
              <w:rPr>
                <w:rFonts w:ascii="Arial" w:hAnsi="Arial" w:cs="Arial"/>
                <w:color w:val="000000" w:themeColor="text1"/>
                <w:lang w:val="es-ES"/>
              </w:rPr>
            </w:pP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 xml:space="preserve">Mujeres y hombres de 16 años y mayores pueden consentir la actividad sexual legal con prácticamente cualquier persona que elijan.  Sin embargo, no pueden dar su consentimiento para tener relaciones sexuales con alguien que tiene poder sobre ellos.  Por ejemplo, adolescentes y adultos no tienen la capacidad legal para dar su consentimiento a las relaciones sexuales con figuras de autoridad, tales como: </w:t>
            </w:r>
          </w:p>
          <w:p w:rsidR="00442651" w:rsidRPr="00442651" w:rsidRDefault="00442651" w:rsidP="00442651">
            <w:pPr>
              <w:pStyle w:val="ListParagraph"/>
              <w:numPr>
                <w:ilvl w:val="0"/>
                <w:numId w:val="5"/>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Guardias donde están encarcelados.</w:t>
            </w:r>
          </w:p>
          <w:p w:rsidR="00442651" w:rsidRPr="00442651" w:rsidRDefault="00442651" w:rsidP="00442651">
            <w:pPr>
              <w:pStyle w:val="ListParagraph"/>
              <w:numPr>
                <w:ilvl w:val="0"/>
                <w:numId w:val="4"/>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Maestros, entrenadores, y el personal de su escuela secundaria.</w:t>
            </w:r>
          </w:p>
          <w:p w:rsidR="00442651" w:rsidRPr="00442651" w:rsidRDefault="00442651" w:rsidP="00442651">
            <w:pPr>
              <w:pStyle w:val="ListParagraph"/>
              <w:numPr>
                <w:ilvl w:val="0"/>
                <w:numId w:val="4"/>
              </w:numPr>
              <w:rPr>
                <w:rFonts w:ascii="Arial" w:hAnsi="Arial" w:cs="Arial"/>
                <w:color w:val="000000" w:themeColor="text1"/>
                <w:sz w:val="22"/>
                <w:szCs w:val="22"/>
                <w:lang w:val="es-ES"/>
              </w:rPr>
            </w:pPr>
            <w:r w:rsidRPr="00442651">
              <w:rPr>
                <w:rFonts w:ascii="Arial" w:hAnsi="Arial" w:cs="Arial"/>
                <w:color w:val="000000" w:themeColor="text1"/>
                <w:sz w:val="22"/>
                <w:szCs w:val="22"/>
                <w:lang w:val="es-ES"/>
              </w:rPr>
              <w:t>El personal que trabaja en un centro de menores, centro de tratamiento, ONG o la institución donde viven o reciben atención.</w:t>
            </w:r>
          </w:p>
          <w:p w:rsidR="00442651" w:rsidRPr="00442651" w:rsidRDefault="00442651" w:rsidP="00442651">
            <w:pPr>
              <w:rPr>
                <w:rFonts w:ascii="Arial" w:hAnsi="Arial" w:cs="Arial"/>
                <w:color w:val="000000" w:themeColor="text1"/>
                <w:lang w:val="es-ES"/>
              </w:rPr>
            </w:pPr>
          </w:p>
          <w:p w:rsidR="00442651" w:rsidRPr="00442651" w:rsidRDefault="00442651" w:rsidP="00442651">
            <w:pPr>
              <w:rPr>
                <w:rFonts w:ascii="Arial" w:hAnsi="Arial" w:cs="Arial"/>
                <w:color w:val="000000" w:themeColor="text1"/>
                <w:lang w:val="es-ES"/>
              </w:rPr>
            </w:pPr>
            <w:r w:rsidRPr="00442651">
              <w:rPr>
                <w:rFonts w:ascii="Arial" w:hAnsi="Arial" w:cs="Arial"/>
                <w:color w:val="000000" w:themeColor="text1"/>
                <w:lang w:val="es-ES"/>
              </w:rPr>
              <w:t>No importa si un adolescente o un adulto quieren tener relaciones sexuales con un trabajador que tiene autoridad sobre ellos.  La actividad sexual sigue siendo ilegal.  El trabajador puede ser acusado de "agresión sexual institucional."</w:t>
            </w:r>
          </w:p>
          <w:p w:rsidR="00442651" w:rsidRPr="00442651" w:rsidRDefault="00442651" w:rsidP="00442651">
            <w:pPr>
              <w:rPr>
                <w:rFonts w:ascii="Arial" w:hAnsi="Arial" w:cs="Arial"/>
                <w:color w:val="000000" w:themeColor="text1"/>
                <w:u w:val="single"/>
                <w:lang w:val="es-ES"/>
              </w:rPr>
            </w:pPr>
          </w:p>
        </w:tc>
        <w:tc>
          <w:tcPr>
            <w:tcW w:w="4770" w:type="dxa"/>
          </w:tcPr>
          <w:p w:rsidR="00442651" w:rsidRPr="00442651" w:rsidRDefault="00442651" w:rsidP="00442651">
            <w:pPr>
              <w:rPr>
                <w:rFonts w:ascii="Arial" w:hAnsi="Arial" w:cs="Arial"/>
                <w:b/>
                <w:bCs/>
                <w:color w:val="000000" w:themeColor="text1"/>
                <w:u w:val="single"/>
                <w:lang w:val="en"/>
              </w:rPr>
            </w:pPr>
            <w:r w:rsidRPr="00442651">
              <w:rPr>
                <w:rFonts w:ascii="Arial" w:hAnsi="Arial" w:cs="Arial"/>
                <w:b/>
                <w:bCs/>
                <w:color w:val="000000" w:themeColor="text1"/>
                <w:u w:val="single"/>
                <w:lang w:val="en"/>
              </w:rPr>
              <w:lastRenderedPageBreak/>
              <w:t>Legal Ability to Consent</w:t>
            </w: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It is illegal to have sex with someone who </w:t>
            </w:r>
            <w:proofErr w:type="gramStart"/>
            <w:r w:rsidRPr="00442651">
              <w:rPr>
                <w:rFonts w:ascii="Arial" w:hAnsi="Arial" w:cs="Arial"/>
                <w:color w:val="000000" w:themeColor="text1"/>
                <w:lang w:val="en"/>
              </w:rPr>
              <w:t>doesn’t</w:t>
            </w:r>
            <w:proofErr w:type="gramEnd"/>
            <w:r w:rsidRPr="00442651">
              <w:rPr>
                <w:rFonts w:ascii="Arial" w:hAnsi="Arial" w:cs="Arial"/>
                <w:color w:val="000000" w:themeColor="text1"/>
                <w:lang w:val="en"/>
              </w:rPr>
              <w:t xml:space="preserve"> have the legal ability to consent to sexual activity.  </w:t>
            </w: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In Pennsylvania, a person doesn’t have the legal ability to consent to sexual activity if they are:</w:t>
            </w:r>
          </w:p>
          <w:p w:rsidR="00442651" w:rsidRPr="00442651" w:rsidRDefault="00442651" w:rsidP="00442651">
            <w:pPr>
              <w:pStyle w:val="ListParagraph"/>
              <w:numPr>
                <w:ilvl w:val="0"/>
                <w:numId w:val="2"/>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Less than 13 years old</w:t>
            </w:r>
          </w:p>
          <w:p w:rsidR="00442651" w:rsidRPr="00442651" w:rsidRDefault="00442651" w:rsidP="00442651">
            <w:pPr>
              <w:pStyle w:val="ListParagraph"/>
              <w:numPr>
                <w:ilvl w:val="0"/>
                <w:numId w:val="2"/>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Asleep</w:t>
            </w:r>
          </w:p>
          <w:p w:rsidR="00442651" w:rsidRPr="00442651" w:rsidRDefault="00442651" w:rsidP="00442651">
            <w:pPr>
              <w:pStyle w:val="ListParagraph"/>
              <w:numPr>
                <w:ilvl w:val="0"/>
                <w:numId w:val="2"/>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Unconscious</w:t>
            </w:r>
          </w:p>
          <w:p w:rsidR="00442651" w:rsidRPr="00442651" w:rsidRDefault="00442651" w:rsidP="00442651">
            <w:pPr>
              <w:pStyle w:val="ListParagraph"/>
              <w:numPr>
                <w:ilvl w:val="0"/>
                <w:numId w:val="2"/>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Severely mentally disabled</w:t>
            </w:r>
          </w:p>
          <w:p w:rsidR="00442651" w:rsidRPr="00442651" w:rsidRDefault="00442651" w:rsidP="00442651">
            <w:pPr>
              <w:pStyle w:val="ListParagraph"/>
              <w:numPr>
                <w:ilvl w:val="0"/>
                <w:numId w:val="2"/>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 xml:space="preserve">Seriously impaired by drugs or alcohol </w:t>
            </w: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Females and males age 13-15 can only consent to sexual activity with people who are less than 4 years older than they are.  </w:t>
            </w:r>
          </w:p>
          <w:p w:rsidR="00442651" w:rsidRPr="00442651" w:rsidRDefault="00442651" w:rsidP="00442651">
            <w:pPr>
              <w:rPr>
                <w:rFonts w:ascii="Arial" w:hAnsi="Arial" w:cs="Arial"/>
                <w:color w:val="000000" w:themeColor="text1"/>
                <w:lang w:val="en"/>
              </w:rPr>
            </w:pPr>
          </w:p>
          <w:p w:rsidR="00442651" w:rsidRPr="00442651" w:rsidRDefault="00442651" w:rsidP="00442651">
            <w:pPr>
              <w:ind w:left="720"/>
              <w:rPr>
                <w:rFonts w:ascii="Arial" w:hAnsi="Arial" w:cs="Arial"/>
                <w:color w:val="000000" w:themeColor="text1"/>
                <w:lang w:val="en"/>
              </w:rPr>
            </w:pPr>
            <w:r w:rsidRPr="00442651">
              <w:rPr>
                <w:rFonts w:ascii="Arial" w:hAnsi="Arial" w:cs="Arial"/>
                <w:color w:val="000000" w:themeColor="text1"/>
                <w:lang w:val="en"/>
              </w:rPr>
              <w:t>Example: A 13-year-old born on January 1 can legally consent to sex with a 16-year-old, but not with someone who turns 17 on January 1.</w:t>
            </w:r>
          </w:p>
          <w:p w:rsidR="00442651" w:rsidRPr="00442651" w:rsidRDefault="00442651" w:rsidP="00442651">
            <w:pPr>
              <w:ind w:left="720"/>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Females and males age 16 and older can legally consent to sexual activity with almost anyone they choose.  However, they cannot consent to sexual activity with a person who has power over them.  For example, teens and adults do not have the legal ability to consent to sex with authority figures such as: </w:t>
            </w:r>
          </w:p>
          <w:p w:rsidR="00442651" w:rsidRPr="00442651" w:rsidRDefault="00442651" w:rsidP="00442651">
            <w:pPr>
              <w:rPr>
                <w:rFonts w:ascii="Arial" w:hAnsi="Arial" w:cs="Arial"/>
                <w:color w:val="000000" w:themeColor="text1"/>
                <w:lang w:val="en"/>
              </w:rPr>
            </w:pPr>
          </w:p>
          <w:p w:rsidR="00442651" w:rsidRPr="00442651" w:rsidRDefault="00442651" w:rsidP="00442651">
            <w:pPr>
              <w:pStyle w:val="ListParagraph"/>
              <w:numPr>
                <w:ilvl w:val="0"/>
                <w:numId w:val="5"/>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Guards where they are imprisoned.</w:t>
            </w:r>
          </w:p>
          <w:p w:rsidR="00442651" w:rsidRPr="00442651" w:rsidRDefault="00442651" w:rsidP="00442651">
            <w:pPr>
              <w:pStyle w:val="ListParagraph"/>
              <w:numPr>
                <w:ilvl w:val="0"/>
                <w:numId w:val="4"/>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Teachers, coaches, and staff at their high school.</w:t>
            </w:r>
          </w:p>
          <w:p w:rsidR="00442651" w:rsidRPr="00442651" w:rsidRDefault="00442651" w:rsidP="00442651">
            <w:pPr>
              <w:pStyle w:val="ListParagraph"/>
              <w:numPr>
                <w:ilvl w:val="0"/>
                <w:numId w:val="4"/>
              </w:numPr>
              <w:ind w:left="345" w:hanging="345"/>
              <w:rPr>
                <w:rFonts w:ascii="Arial" w:hAnsi="Arial" w:cs="Arial"/>
                <w:color w:val="000000" w:themeColor="text1"/>
                <w:sz w:val="22"/>
                <w:szCs w:val="22"/>
                <w:lang w:val="en"/>
              </w:rPr>
            </w:pPr>
            <w:r w:rsidRPr="00442651">
              <w:rPr>
                <w:rFonts w:ascii="Arial" w:hAnsi="Arial" w:cs="Arial"/>
                <w:color w:val="000000" w:themeColor="text1"/>
                <w:sz w:val="22"/>
                <w:szCs w:val="22"/>
                <w:lang w:val="en"/>
              </w:rPr>
              <w:t>Staff who work at a juvenile facility, treatment facility, NGO, or institution where they live or receive care.</w:t>
            </w:r>
          </w:p>
          <w:p w:rsidR="00442651" w:rsidRPr="00442651" w:rsidRDefault="00442651" w:rsidP="00442651">
            <w:pPr>
              <w:rPr>
                <w:rFonts w:ascii="Arial" w:hAnsi="Arial" w:cs="Arial"/>
                <w:color w:val="000000" w:themeColor="text1"/>
                <w:lang w:val="en"/>
              </w:rPr>
            </w:pPr>
          </w:p>
          <w:p w:rsidR="00442651" w:rsidRPr="00442651" w:rsidRDefault="00442651" w:rsidP="00442651">
            <w:pPr>
              <w:rPr>
                <w:rFonts w:ascii="Arial" w:hAnsi="Arial" w:cs="Arial"/>
                <w:color w:val="000000" w:themeColor="text1"/>
                <w:lang w:val="en"/>
              </w:rPr>
            </w:pPr>
            <w:r w:rsidRPr="00442651">
              <w:rPr>
                <w:rFonts w:ascii="Arial" w:hAnsi="Arial" w:cs="Arial"/>
                <w:color w:val="000000" w:themeColor="text1"/>
                <w:lang w:val="en"/>
              </w:rPr>
              <w:t xml:space="preserve">It </w:t>
            </w:r>
            <w:proofErr w:type="gramStart"/>
            <w:r w:rsidRPr="00442651">
              <w:rPr>
                <w:rFonts w:ascii="Arial" w:hAnsi="Arial" w:cs="Arial"/>
                <w:color w:val="000000" w:themeColor="text1"/>
                <w:lang w:val="en"/>
              </w:rPr>
              <w:t>doesn’t</w:t>
            </w:r>
            <w:proofErr w:type="gramEnd"/>
            <w:r w:rsidRPr="00442651">
              <w:rPr>
                <w:rFonts w:ascii="Arial" w:hAnsi="Arial" w:cs="Arial"/>
                <w:color w:val="000000" w:themeColor="text1"/>
                <w:lang w:val="en"/>
              </w:rPr>
              <w:t xml:space="preserve"> matter if a teen or adult wants to have sex with a worker who has authority over them.  The sexual activity is still illegal.  The worker </w:t>
            </w:r>
            <w:proofErr w:type="gramStart"/>
            <w:r w:rsidRPr="00442651">
              <w:rPr>
                <w:rFonts w:ascii="Arial" w:hAnsi="Arial" w:cs="Arial"/>
                <w:color w:val="000000" w:themeColor="text1"/>
                <w:lang w:val="en"/>
              </w:rPr>
              <w:t>can be charged</w:t>
            </w:r>
            <w:proofErr w:type="gramEnd"/>
            <w:r w:rsidRPr="00442651">
              <w:rPr>
                <w:rFonts w:ascii="Arial" w:hAnsi="Arial" w:cs="Arial"/>
                <w:color w:val="000000" w:themeColor="text1"/>
                <w:lang w:val="en"/>
              </w:rPr>
              <w:t xml:space="preserve"> with “institutional sexual assault.”</w:t>
            </w:r>
          </w:p>
          <w:p w:rsidR="00442651" w:rsidRPr="00442651" w:rsidRDefault="00442651" w:rsidP="00442651">
            <w:pPr>
              <w:jc w:val="center"/>
              <w:rPr>
                <w:rFonts w:ascii="Arial" w:hAnsi="Arial" w:cs="Arial"/>
                <w:color w:val="000000" w:themeColor="text1"/>
                <w:u w:val="single"/>
              </w:rPr>
            </w:pPr>
          </w:p>
        </w:tc>
      </w:tr>
      <w:tr w:rsidR="00442651" w:rsidRPr="00442651" w:rsidTr="00442651">
        <w:tc>
          <w:tcPr>
            <w:tcW w:w="6120" w:type="dxa"/>
          </w:tcPr>
          <w:p w:rsidR="00442651" w:rsidRPr="00442651" w:rsidRDefault="00442651" w:rsidP="00442651">
            <w:pPr>
              <w:rPr>
                <w:rFonts w:ascii="Arial" w:hAnsi="Arial" w:cs="Arial"/>
                <w:color w:val="000000" w:themeColor="text1"/>
                <w:u w:val="single"/>
                <w:lang w:val="es-ES"/>
              </w:rPr>
            </w:pPr>
            <w:bookmarkStart w:id="0" w:name="_GoBack"/>
            <w:bookmarkEnd w:id="0"/>
          </w:p>
        </w:tc>
        <w:tc>
          <w:tcPr>
            <w:tcW w:w="4770" w:type="dxa"/>
          </w:tcPr>
          <w:p w:rsidR="00442651" w:rsidRPr="00442651" w:rsidRDefault="00442651" w:rsidP="00442651">
            <w:pPr>
              <w:rPr>
                <w:rFonts w:ascii="Arial" w:hAnsi="Arial" w:cs="Arial"/>
                <w:b/>
                <w:bCs/>
                <w:color w:val="000000" w:themeColor="text1"/>
                <w:u w:val="single"/>
                <w:lang w:val="en"/>
              </w:rPr>
            </w:pPr>
          </w:p>
        </w:tc>
      </w:tr>
      <w:tr w:rsidR="00442651" w:rsidRPr="00442651" w:rsidTr="00442651">
        <w:tc>
          <w:tcPr>
            <w:tcW w:w="6120" w:type="dxa"/>
          </w:tcPr>
          <w:p w:rsidR="00442651" w:rsidRPr="00442651" w:rsidRDefault="00442651" w:rsidP="00442651">
            <w:pPr>
              <w:jc w:val="center"/>
              <w:rPr>
                <w:rFonts w:ascii="Arial" w:hAnsi="Arial" w:cs="Arial"/>
                <w:color w:val="000000" w:themeColor="text1"/>
                <w:u w:val="single"/>
                <w:lang w:val="es-ES"/>
              </w:rPr>
            </w:pPr>
          </w:p>
        </w:tc>
        <w:tc>
          <w:tcPr>
            <w:tcW w:w="4770" w:type="dxa"/>
          </w:tcPr>
          <w:p w:rsidR="00442651" w:rsidRPr="00442651" w:rsidRDefault="00442651" w:rsidP="00442651">
            <w:pPr>
              <w:rPr>
                <w:rFonts w:ascii="Arial" w:hAnsi="Arial" w:cs="Arial"/>
                <w:b/>
                <w:bCs/>
                <w:color w:val="000000" w:themeColor="text1"/>
                <w:u w:val="single"/>
                <w:lang w:val="en"/>
              </w:rPr>
            </w:pPr>
          </w:p>
        </w:tc>
      </w:tr>
    </w:tbl>
    <w:p w:rsidR="00C1375C" w:rsidRPr="00442651" w:rsidRDefault="00C1375C">
      <w:pPr>
        <w:rPr>
          <w:rFonts w:ascii="Arial" w:hAnsi="Arial" w:cs="Arial"/>
          <w:color w:val="000000" w:themeColor="text1"/>
        </w:rPr>
      </w:pPr>
    </w:p>
    <w:sectPr w:rsidR="00C1375C" w:rsidRPr="00442651" w:rsidSect="00A57BBB">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BBB" w:rsidRDefault="00A57BBB" w:rsidP="00A57BBB">
      <w:pPr>
        <w:spacing w:after="0" w:line="240" w:lineRule="auto"/>
      </w:pPr>
      <w:r>
        <w:separator/>
      </w:r>
    </w:p>
  </w:endnote>
  <w:endnote w:type="continuationSeparator" w:id="0">
    <w:p w:rsidR="00A57BBB" w:rsidRDefault="00A57BBB" w:rsidP="00A57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unPenh">
    <w:altName w:val="Leelawadee UI Semilight"/>
    <w:panose1 w:val="01010101010101010101"/>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oolBoran">
    <w:altName w:val="Leelawadee UI"/>
    <w:panose1 w:val="020B0100010101010101"/>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3752694"/>
      <w:docPartObj>
        <w:docPartGallery w:val="Page Numbers (Bottom of Page)"/>
        <w:docPartUnique/>
      </w:docPartObj>
    </w:sdtPr>
    <w:sdtEndPr>
      <w:rPr>
        <w:noProof/>
      </w:rPr>
    </w:sdtEndPr>
    <w:sdtContent>
      <w:p w:rsidR="00A57BBB" w:rsidRDefault="001B495D" w:rsidP="00640180">
        <w:r>
          <w:rPr>
            <w:noProof/>
            <w:lang w:bidi="km-KH"/>
          </w:rPr>
          <w:drawing>
            <wp:anchor distT="0" distB="0" distL="114300" distR="114300" simplePos="0" relativeHeight="251660288" behindDoc="1" locked="0" layoutInCell="1" allowOverlap="1" wp14:anchorId="4F9447DA" wp14:editId="06955908">
              <wp:simplePos x="0" y="0"/>
              <wp:positionH relativeFrom="column">
                <wp:posOffset>-96591</wp:posOffset>
              </wp:positionH>
              <wp:positionV relativeFrom="paragraph">
                <wp:posOffset>95823</wp:posOffset>
              </wp:positionV>
              <wp:extent cx="1719330" cy="608775"/>
              <wp:effectExtent l="0" t="0" r="0" b="1270"/>
              <wp:wrapTight wrapText="bothSides">
                <wp:wrapPolygon edited="0">
                  <wp:start x="0" y="0"/>
                  <wp:lineTo x="0" y="20969"/>
                  <wp:lineTo x="21305" y="20969"/>
                  <wp:lineTo x="213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719330" cy="6087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36379">
          <w:rPr>
            <w:rFonts w:ascii="Arial" w:hAnsi="Arial" w:cs="Arial"/>
            <w:noProof/>
            <w:sz w:val="16"/>
            <w:szCs w:val="16"/>
            <w:lang w:bidi="km-KH"/>
          </w:rPr>
          <w:drawing>
            <wp:anchor distT="0" distB="0" distL="114300" distR="114300" simplePos="0" relativeHeight="251659264" behindDoc="1" locked="0" layoutInCell="1" allowOverlap="1" wp14:anchorId="2A852B6D" wp14:editId="51DFABD2">
              <wp:simplePos x="0" y="0"/>
              <wp:positionH relativeFrom="margin">
                <wp:align>left</wp:align>
              </wp:positionH>
              <wp:positionV relativeFrom="paragraph">
                <wp:posOffset>173990</wp:posOffset>
              </wp:positionV>
              <wp:extent cx="738505" cy="455295"/>
              <wp:effectExtent l="0" t="0" r="4445" b="1905"/>
              <wp:wrapTight wrapText="bothSides">
                <wp:wrapPolygon edited="0">
                  <wp:start x="0" y="0"/>
                  <wp:lineTo x="0" y="20787"/>
                  <wp:lineTo x="21173" y="20787"/>
                  <wp:lineTo x="21173" y="0"/>
                  <wp:lineTo x="0" y="0"/>
                </wp:wrapPolygon>
              </wp:wrapTight>
              <wp:docPr id="5" name="Picture 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SL Square w tag line.png"/>
                      <pic:cNvPicPr/>
                    </pic:nvPicPr>
                    <pic:blipFill>
                      <a:blip r:embed="rId2">
                        <a:extLst>
                          <a:ext uri="{28A0092B-C50C-407E-A947-70E740481C1C}">
                            <a14:useLocalDpi xmlns:a14="http://schemas.microsoft.com/office/drawing/2010/main" val="0"/>
                          </a:ext>
                        </a:extLst>
                      </a:blip>
                      <a:stretch>
                        <a:fillRect/>
                      </a:stretch>
                    </pic:blipFill>
                    <pic:spPr>
                      <a:xfrm>
                        <a:off x="0" y="0"/>
                        <a:ext cx="738505" cy="455295"/>
                      </a:xfrm>
                      <a:prstGeom prst="rect">
                        <a:avLst/>
                      </a:prstGeom>
                    </pic:spPr>
                  </pic:pic>
                </a:graphicData>
              </a:graphic>
              <wp14:sizeRelH relativeFrom="page">
                <wp14:pctWidth>0</wp14:pctWidth>
              </wp14:sizeRelH>
              <wp14:sizeRelV relativeFrom="page">
                <wp14:pctHeight>0</wp14:pctHeight>
              </wp14:sizeRelV>
            </wp:anchor>
          </w:drawing>
        </w:r>
        <w:r w:rsidRPr="00236379">
          <w:rPr>
            <w:rFonts w:ascii="Arial" w:hAnsi="Arial" w:cs="Arial"/>
            <w:sz w:val="16"/>
            <w:szCs w:val="16"/>
          </w:rPr>
          <w:t>Translation courtesy of Family Support Line, a nonprofit dedicated to the advancement and treatment of child sexual abuse located in Delaware County, Pennsylvania, USA as part of our Many Languages, One Voice (MLOV) Project.  Funding for</w:t>
        </w:r>
        <w:r>
          <w:rPr>
            <w:rFonts w:ascii="Arial" w:hAnsi="Arial" w:cs="Arial"/>
            <w:sz w:val="16"/>
            <w:szCs w:val="16"/>
          </w:rPr>
          <w:t xml:space="preserve"> translation provided by PA Endowment Act grant # 26253.</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BBB" w:rsidRDefault="00A57BBB" w:rsidP="00A57BBB">
      <w:pPr>
        <w:spacing w:after="0" w:line="240" w:lineRule="auto"/>
      </w:pPr>
      <w:r>
        <w:separator/>
      </w:r>
    </w:p>
  </w:footnote>
  <w:footnote w:type="continuationSeparator" w:id="0">
    <w:p w:rsidR="00A57BBB" w:rsidRDefault="00A57BBB" w:rsidP="00A57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180" w:rsidRDefault="00640180" w:rsidP="00640180">
    <w:pPr>
      <w:pStyle w:val="Header"/>
      <w:jc w:val="center"/>
    </w:pPr>
    <w:r w:rsidRPr="001B495D">
      <w:rPr>
        <w:rFonts w:ascii="Arial" w:hAnsi="Arial" w:cs="Arial"/>
        <w:noProof/>
        <w:lang w:bidi="km-KH"/>
      </w:rPr>
      <w:drawing>
        <wp:anchor distT="0" distB="0" distL="114300" distR="114300" simplePos="0" relativeHeight="251661312" behindDoc="0" locked="0" layoutInCell="1" allowOverlap="1">
          <wp:simplePos x="0" y="0"/>
          <wp:positionH relativeFrom="margin">
            <wp:posOffset>2466975</wp:posOffset>
          </wp:positionH>
          <wp:positionV relativeFrom="margin">
            <wp:posOffset>635</wp:posOffset>
          </wp:positionV>
          <wp:extent cx="1952625" cy="691515"/>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20743" t="34303" r="40188" b="43563"/>
                  <a:stretch/>
                </pic:blipFill>
                <pic:spPr bwMode="auto">
                  <a:xfrm>
                    <a:off x="0" y="0"/>
                    <a:ext cx="1952625" cy="6915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9A3"/>
    <w:multiLevelType w:val="hybridMultilevel"/>
    <w:tmpl w:val="8D1282B6"/>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C119F"/>
    <w:multiLevelType w:val="hybridMultilevel"/>
    <w:tmpl w:val="615A490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751EDE"/>
    <w:multiLevelType w:val="hybridMultilevel"/>
    <w:tmpl w:val="D982D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DA765CA"/>
    <w:multiLevelType w:val="hybridMultilevel"/>
    <w:tmpl w:val="6A303EC2"/>
    <w:lvl w:ilvl="0" w:tplc="7B10A44C">
      <w:start w:val="3"/>
      <w:numFmt w:val="bullet"/>
      <w:lvlText w:val=""/>
      <w:lvlJc w:val="left"/>
      <w:pPr>
        <w:ind w:left="720"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5709F"/>
    <w:multiLevelType w:val="hybridMultilevel"/>
    <w:tmpl w:val="ACDC25A4"/>
    <w:lvl w:ilvl="0" w:tplc="7B10A44C">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5B181B"/>
    <w:multiLevelType w:val="hybridMultilevel"/>
    <w:tmpl w:val="F63CD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691D2B"/>
    <w:multiLevelType w:val="hybridMultilevel"/>
    <w:tmpl w:val="6A98C9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BFC7364"/>
    <w:multiLevelType w:val="hybridMultilevel"/>
    <w:tmpl w:val="2AD22688"/>
    <w:lvl w:ilvl="0" w:tplc="7B10A44C">
      <w:start w:val="3"/>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3"/>
  </w:num>
  <w:num w:numId="4">
    <w:abstractNumId w:val="0"/>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7AD7"/>
    <w:rsid w:val="001B495D"/>
    <w:rsid w:val="002F0011"/>
    <w:rsid w:val="00351C47"/>
    <w:rsid w:val="003A05C3"/>
    <w:rsid w:val="00442651"/>
    <w:rsid w:val="00511EE5"/>
    <w:rsid w:val="00553ED6"/>
    <w:rsid w:val="00640180"/>
    <w:rsid w:val="00950D84"/>
    <w:rsid w:val="00962CFE"/>
    <w:rsid w:val="00A57BBB"/>
    <w:rsid w:val="00A719F3"/>
    <w:rsid w:val="00BB3C2B"/>
    <w:rsid w:val="00C1375C"/>
    <w:rsid w:val="00CE318B"/>
    <w:rsid w:val="00F07AD7"/>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9505D4E"/>
  <w15:chartTrackingRefBased/>
  <w15:docId w15:val="{443AC262-594D-42A9-A233-E2A74F913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7A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0D84"/>
    <w:pPr>
      <w:spacing w:after="0" w:line="240" w:lineRule="auto"/>
      <w:ind w:left="720"/>
      <w:contextualSpacing/>
    </w:pPr>
    <w:rPr>
      <w:rFonts w:ascii="Times New Roman" w:hAnsi="Times New Roman" w:cs="Times New Roman"/>
      <w:sz w:val="24"/>
      <w:szCs w:val="24"/>
    </w:rPr>
  </w:style>
  <w:style w:type="paragraph" w:styleId="Header">
    <w:name w:val="header"/>
    <w:basedOn w:val="Normal"/>
    <w:link w:val="HeaderChar"/>
    <w:uiPriority w:val="99"/>
    <w:unhideWhenUsed/>
    <w:rsid w:val="00A57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7BBB"/>
  </w:style>
  <w:style w:type="paragraph" w:styleId="Footer">
    <w:name w:val="footer"/>
    <w:basedOn w:val="Normal"/>
    <w:link w:val="FooterChar"/>
    <w:uiPriority w:val="99"/>
    <w:unhideWhenUsed/>
    <w:rsid w:val="00A57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7BBB"/>
  </w:style>
  <w:style w:type="paragraph" w:styleId="BalloonText">
    <w:name w:val="Balloon Text"/>
    <w:basedOn w:val="Normal"/>
    <w:link w:val="BalloonTextChar"/>
    <w:uiPriority w:val="99"/>
    <w:semiHidden/>
    <w:unhideWhenUsed/>
    <w:rsid w:val="00A719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9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 Ace</cp:lastModifiedBy>
  <cp:revision>4</cp:revision>
  <cp:lastPrinted>2017-06-01T19:06:00Z</cp:lastPrinted>
  <dcterms:created xsi:type="dcterms:W3CDTF">2017-06-01T18:50:00Z</dcterms:created>
  <dcterms:modified xsi:type="dcterms:W3CDTF">2017-06-02T00:05:00Z</dcterms:modified>
</cp:coreProperties>
</file>