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2B" w:rsidRPr="007C1E21" w:rsidRDefault="00567690" w:rsidP="00112B77">
      <w:pPr>
        <w:spacing w:after="0" w:line="240" w:lineRule="auto"/>
        <w:jc w:val="center"/>
        <w:rPr>
          <w:rFonts w:ascii="Arial" w:hAnsi="Arial" w:cs="Arial"/>
        </w:rPr>
      </w:pPr>
      <w:r w:rsidRPr="007C1E21">
        <w:rPr>
          <w:rFonts w:ascii="Arial" w:hAnsi="Arial" w:cs="Arial"/>
          <w:noProof/>
          <w:sz w:val="24"/>
          <w:szCs w:val="24"/>
          <w:lang w:bidi="km-KH"/>
        </w:rPr>
        <w:drawing>
          <wp:inline distT="0" distB="0" distL="0" distR="0" wp14:anchorId="15EC34C5" wp14:editId="21B1365F">
            <wp:extent cx="1984872" cy="7027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2128811" cy="75376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30"/>
      </w:tblGrid>
      <w:tr w:rsidR="00D711DF" w:rsidRPr="00AE5507" w:rsidTr="00ED3F66">
        <w:trPr>
          <w:trHeight w:val="8418"/>
        </w:trPr>
        <w:tc>
          <w:tcPr>
            <w:tcW w:w="5760" w:type="dxa"/>
          </w:tcPr>
          <w:p w:rsidR="00ED3F66" w:rsidRPr="00075A68" w:rsidRDefault="00ED3F66" w:rsidP="00ED3F66">
            <w:pPr>
              <w:jc w:val="center"/>
              <w:rPr>
                <w:rFonts w:ascii="Arial" w:hAnsi="Arial" w:cs="Arial"/>
                <w:b/>
                <w:bCs/>
              </w:rPr>
            </w:pPr>
            <w:r w:rsidRPr="00075A68">
              <w:rPr>
                <w:rFonts w:ascii="Arial" w:hAnsi="Arial" w:cs="Arial"/>
                <w:b/>
                <w:bCs/>
                <w:u w:val="single"/>
              </w:rPr>
              <w:t>Mga Krimen Sa Pakikipagtalik</w:t>
            </w:r>
          </w:p>
          <w:p w:rsidR="00ED3F66" w:rsidRDefault="00ED3F66" w:rsidP="00ED3F66">
            <w:pPr>
              <w:rPr>
                <w:rFonts w:ascii="Arial" w:hAnsi="Arial" w:cs="Arial"/>
              </w:rPr>
            </w:pPr>
          </w:p>
          <w:p w:rsidR="00ED3F66" w:rsidRPr="00ED3F66" w:rsidRDefault="00ED3F66" w:rsidP="00ED3F66">
            <w:pPr>
              <w:rPr>
                <w:rFonts w:ascii="Arial" w:hAnsi="Arial" w:cs="Arial"/>
                <w:sz w:val="24"/>
                <w:szCs w:val="24"/>
              </w:rPr>
            </w:pPr>
            <w:r w:rsidRPr="00ED3F66">
              <w:rPr>
                <w:rFonts w:ascii="Arial" w:hAnsi="Arial" w:cs="Arial"/>
                <w:sz w:val="24"/>
                <w:szCs w:val="24"/>
              </w:rPr>
              <w:t>Kinikilala ng batas ng Pennsylvania ang iba't ibang krimen sa pakikipagtalik.  Ang ibang krimen sa pakikipagtalik ay nauugnay ang pagpasok sa katawan ng isang tao.  Ang iba ay hindi.</w:t>
            </w:r>
          </w:p>
          <w:p w:rsidR="00ED3F66" w:rsidRPr="00ED3F66" w:rsidRDefault="00ED3F66" w:rsidP="00ED3F66">
            <w:pPr>
              <w:rPr>
                <w:rFonts w:ascii="Arial" w:hAnsi="Arial" w:cs="Arial"/>
                <w:sz w:val="24"/>
                <w:szCs w:val="24"/>
              </w:rPr>
            </w:pPr>
          </w:p>
          <w:p w:rsidR="00ED3F66" w:rsidRPr="00ED3F66" w:rsidRDefault="00ED3F66" w:rsidP="00ED3F66">
            <w:pPr>
              <w:rPr>
                <w:rFonts w:ascii="Arial" w:hAnsi="Arial" w:cs="Arial"/>
                <w:sz w:val="24"/>
                <w:szCs w:val="24"/>
              </w:rPr>
            </w:pPr>
            <w:r w:rsidRPr="00ED3F66">
              <w:rPr>
                <w:rFonts w:ascii="Arial" w:hAnsi="Arial" w:cs="Arial"/>
                <w:sz w:val="24"/>
                <w:szCs w:val="24"/>
              </w:rPr>
              <w:t>Ipinagbabawal ng batas ng Pennsylvania ang insesto.  Ang insesto ay nagaganap kapag alam ng isang tao na pinakasalan, naninirahan bilang sekswal na kapareha, o nagkaroon ng sekswal na pakikipagtalik sa isa sa mga sumusunod:</w:t>
            </w:r>
          </w:p>
          <w:p w:rsidR="00ED3F66" w:rsidRPr="00ED3F66" w:rsidRDefault="00ED3F66" w:rsidP="00ED3F66">
            <w:pPr>
              <w:pStyle w:val="ListParagraph"/>
              <w:numPr>
                <w:ilvl w:val="0"/>
                <w:numId w:val="7"/>
              </w:numPr>
              <w:ind w:left="270" w:hanging="270"/>
              <w:rPr>
                <w:rFonts w:ascii="Arial" w:hAnsi="Arial" w:cs="Arial"/>
              </w:rPr>
            </w:pPr>
            <w:r w:rsidRPr="00ED3F66">
              <w:rPr>
                <w:rFonts w:ascii="Arial" w:hAnsi="Arial" w:cs="Arial"/>
              </w:rPr>
              <w:t>Ninuno (hal., magulang, lolo o lola)</w:t>
            </w:r>
          </w:p>
          <w:p w:rsidR="00ED3F66" w:rsidRPr="00ED3F66" w:rsidRDefault="00ED3F66" w:rsidP="00ED3F66">
            <w:pPr>
              <w:pStyle w:val="ListParagraph"/>
              <w:numPr>
                <w:ilvl w:val="0"/>
                <w:numId w:val="7"/>
              </w:numPr>
              <w:ind w:left="270" w:hanging="270"/>
              <w:rPr>
                <w:rFonts w:ascii="Arial" w:hAnsi="Arial" w:cs="Arial"/>
              </w:rPr>
            </w:pPr>
            <w:r w:rsidRPr="00ED3F66">
              <w:rPr>
                <w:rFonts w:ascii="Arial" w:hAnsi="Arial" w:cs="Arial"/>
              </w:rPr>
              <w:t>Supling (hal., anak, apo)</w:t>
            </w:r>
          </w:p>
          <w:p w:rsidR="00ED3F66" w:rsidRPr="00ED3F66" w:rsidRDefault="00ED3F66" w:rsidP="00ED3F66">
            <w:pPr>
              <w:pStyle w:val="ListParagraph"/>
              <w:numPr>
                <w:ilvl w:val="0"/>
                <w:numId w:val="7"/>
              </w:numPr>
              <w:ind w:left="270" w:hanging="270"/>
              <w:rPr>
                <w:rFonts w:ascii="Arial" w:hAnsi="Arial" w:cs="Arial"/>
              </w:rPr>
            </w:pPr>
            <w:r w:rsidRPr="00ED3F66">
              <w:rPr>
                <w:rFonts w:ascii="Arial" w:hAnsi="Arial" w:cs="Arial"/>
              </w:rPr>
              <w:t>Kapatid na buo (hal. pareho ang magulang) o kapatid sa ina o sa ama (hal., ang isang magulang ay pareho)</w:t>
            </w:r>
          </w:p>
          <w:p w:rsidR="00ED3F66" w:rsidRPr="00ED3F66" w:rsidRDefault="00ED3F66" w:rsidP="00ED3F66">
            <w:pPr>
              <w:pStyle w:val="ListParagraph"/>
              <w:numPr>
                <w:ilvl w:val="0"/>
                <w:numId w:val="7"/>
              </w:numPr>
              <w:ind w:left="270" w:hanging="270"/>
              <w:rPr>
                <w:rFonts w:ascii="Arial" w:hAnsi="Arial" w:cs="Arial"/>
              </w:rPr>
            </w:pPr>
            <w:r w:rsidRPr="00ED3F66">
              <w:rPr>
                <w:rFonts w:ascii="Arial" w:hAnsi="Arial" w:cs="Arial"/>
              </w:rPr>
              <w:t>Tiyong buo, tiyang buo, pamangking lalaki o babae</w:t>
            </w:r>
          </w:p>
          <w:p w:rsidR="00ED3F66" w:rsidRPr="00ED3F66" w:rsidRDefault="00ED3F66" w:rsidP="00ED3F66">
            <w:pPr>
              <w:rPr>
                <w:rFonts w:ascii="Arial" w:hAnsi="Arial" w:cs="Arial"/>
                <w:sz w:val="24"/>
                <w:szCs w:val="24"/>
              </w:rPr>
            </w:pPr>
          </w:p>
          <w:p w:rsidR="00ED3F66" w:rsidRPr="00ED3F66" w:rsidRDefault="00ED3F66" w:rsidP="00ED3F66">
            <w:pPr>
              <w:rPr>
                <w:rFonts w:ascii="Arial" w:hAnsi="Arial" w:cs="Arial"/>
                <w:sz w:val="24"/>
                <w:szCs w:val="24"/>
              </w:rPr>
            </w:pPr>
            <w:r w:rsidRPr="00ED3F66">
              <w:rPr>
                <w:rFonts w:ascii="Arial" w:hAnsi="Arial" w:cs="Arial"/>
                <w:sz w:val="24"/>
                <w:szCs w:val="24"/>
              </w:rPr>
              <w:t xml:space="preserve">Labag din sa batas ang pamamahagi ng mga litrato o video na nagpapakita ng isang tao na bahagyang hubad, hubad, o nagsasagawa ng sekswal na gawain kung: </w:t>
            </w:r>
          </w:p>
          <w:p w:rsidR="00ED3F66" w:rsidRPr="00ED3F66" w:rsidRDefault="00ED3F66" w:rsidP="00ED3F66">
            <w:pPr>
              <w:pStyle w:val="ListParagraph"/>
              <w:numPr>
                <w:ilvl w:val="0"/>
                <w:numId w:val="8"/>
              </w:numPr>
              <w:ind w:left="270" w:hanging="270"/>
              <w:rPr>
                <w:rFonts w:ascii="Arial" w:hAnsi="Arial" w:cs="Arial"/>
              </w:rPr>
            </w:pPr>
            <w:r w:rsidRPr="00ED3F66">
              <w:rPr>
                <w:rFonts w:ascii="Arial" w:hAnsi="Arial" w:cs="Arial"/>
              </w:rPr>
              <w:t>Kinuha ito nang walang pahintulot ng taong iyon.</w:t>
            </w:r>
          </w:p>
          <w:p w:rsidR="00ED3F66" w:rsidRPr="00ED3F66" w:rsidRDefault="00ED3F66" w:rsidP="00ED3F66">
            <w:pPr>
              <w:pStyle w:val="ListParagraph"/>
              <w:numPr>
                <w:ilvl w:val="0"/>
                <w:numId w:val="8"/>
              </w:numPr>
              <w:ind w:left="270" w:hanging="270"/>
              <w:rPr>
                <w:rFonts w:ascii="Arial" w:hAnsi="Arial" w:cs="Arial"/>
              </w:rPr>
            </w:pPr>
            <w:r w:rsidRPr="00ED3F66">
              <w:rPr>
                <w:rFonts w:ascii="Arial" w:hAnsi="Arial" w:cs="Arial"/>
              </w:rPr>
              <w:t>Hindi pinahintulutan ng taong iyon ang pamamahagi nito.</w:t>
            </w:r>
          </w:p>
          <w:p w:rsidR="00ED3F66" w:rsidRPr="00ED3F66" w:rsidRDefault="00ED3F66" w:rsidP="00ED3F66">
            <w:pPr>
              <w:pStyle w:val="ListParagraph"/>
              <w:numPr>
                <w:ilvl w:val="0"/>
                <w:numId w:val="8"/>
              </w:numPr>
              <w:ind w:left="270" w:hanging="270"/>
              <w:rPr>
                <w:rFonts w:ascii="Arial" w:hAnsi="Arial" w:cs="Arial"/>
              </w:rPr>
            </w:pPr>
            <w:r w:rsidRPr="00ED3F66">
              <w:rPr>
                <w:rFonts w:ascii="Arial" w:hAnsi="Arial" w:cs="Arial"/>
              </w:rPr>
              <w:t>Ipinamahagi ito upang ligaligin o sirain ang isang tao.</w:t>
            </w:r>
          </w:p>
          <w:p w:rsidR="00ED3F66" w:rsidRPr="00ED3F66" w:rsidRDefault="00ED3F66" w:rsidP="00ED3F66">
            <w:pPr>
              <w:pStyle w:val="ListParagraph"/>
              <w:numPr>
                <w:ilvl w:val="0"/>
                <w:numId w:val="8"/>
              </w:numPr>
              <w:ind w:left="270" w:hanging="270"/>
              <w:rPr>
                <w:rFonts w:ascii="Arial" w:hAnsi="Arial" w:cs="Arial"/>
              </w:rPr>
            </w:pPr>
            <w:r w:rsidRPr="00ED3F66">
              <w:rPr>
                <w:rFonts w:ascii="Arial" w:hAnsi="Arial" w:cs="Arial"/>
              </w:rPr>
              <w:t>Ang taong iyon ay menor-de-edad (</w:t>
            </w:r>
            <w:proofErr w:type="gramStart"/>
            <w:r w:rsidRPr="00ED3F66">
              <w:rPr>
                <w:rFonts w:ascii="Arial" w:hAnsi="Arial" w:cs="Arial"/>
              </w:rPr>
              <w:t>hal.,</w:t>
            </w:r>
            <w:proofErr w:type="gramEnd"/>
            <w:r w:rsidRPr="00ED3F66">
              <w:rPr>
                <w:rFonts w:ascii="Arial" w:hAnsi="Arial" w:cs="Arial"/>
              </w:rPr>
              <w:t xml:space="preserve"> wala pang 18 taong gulang).</w:t>
            </w:r>
          </w:p>
          <w:p w:rsidR="00ED3F66" w:rsidRPr="00ED3F66" w:rsidRDefault="00ED3F66" w:rsidP="00ED3F66">
            <w:pPr>
              <w:rPr>
                <w:rFonts w:ascii="Arial" w:hAnsi="Arial" w:cs="Arial"/>
                <w:sz w:val="24"/>
                <w:szCs w:val="24"/>
              </w:rPr>
            </w:pPr>
          </w:p>
          <w:p w:rsidR="00ED3F66" w:rsidRPr="00ED3F66" w:rsidRDefault="00ED3F66" w:rsidP="00ED3F66">
            <w:pPr>
              <w:rPr>
                <w:rFonts w:ascii="Arial" w:hAnsi="Arial" w:cs="Arial"/>
                <w:sz w:val="24"/>
                <w:szCs w:val="24"/>
              </w:rPr>
            </w:pPr>
            <w:r w:rsidRPr="00ED3F66">
              <w:rPr>
                <w:rFonts w:ascii="Arial" w:hAnsi="Arial" w:cs="Arial"/>
                <w:sz w:val="24"/>
                <w:szCs w:val="24"/>
              </w:rPr>
              <w:t>Hindi pinahihintulutan ang mga adulto na magpadala ng nagpapahiwatig na seskwal na mga mensahe, litrato o video sa mga menor-de-edad.</w:t>
            </w:r>
          </w:p>
          <w:p w:rsidR="00ED3F66" w:rsidRPr="00ED3F66" w:rsidRDefault="00ED3F66" w:rsidP="00ED3F66">
            <w:pPr>
              <w:rPr>
                <w:rFonts w:ascii="Arial" w:hAnsi="Arial" w:cs="Arial"/>
                <w:sz w:val="24"/>
                <w:szCs w:val="24"/>
              </w:rPr>
            </w:pPr>
          </w:p>
          <w:p w:rsidR="00ED3F66" w:rsidRPr="00ED3F66" w:rsidRDefault="00ED3F66" w:rsidP="00ED3F66">
            <w:pPr>
              <w:rPr>
                <w:rFonts w:ascii="Arial" w:hAnsi="Arial" w:cs="Arial"/>
                <w:sz w:val="24"/>
                <w:szCs w:val="24"/>
              </w:rPr>
            </w:pPr>
            <w:r w:rsidRPr="00ED3F66">
              <w:rPr>
                <w:rFonts w:ascii="Arial" w:hAnsi="Arial" w:cs="Arial"/>
                <w:sz w:val="24"/>
                <w:szCs w:val="24"/>
              </w:rPr>
              <w:t>Labag din sa batas para sa mga menor-de-edad na kumuha o magtago ng mga hubad o sekswal na mga “selfie” – na litrato o video na kusang-loob nilang ginawa para sa kanilang sarili – o pinahintulutan nila ang isang tao na kumuha nito.</w:t>
            </w:r>
          </w:p>
          <w:p w:rsidR="00ED3F66" w:rsidRPr="00ED3F66" w:rsidRDefault="00ED3F66" w:rsidP="00ED3F66">
            <w:pPr>
              <w:rPr>
                <w:rFonts w:ascii="Arial" w:hAnsi="Arial" w:cs="Arial"/>
                <w:sz w:val="24"/>
                <w:szCs w:val="24"/>
              </w:rPr>
            </w:pPr>
          </w:p>
          <w:p w:rsidR="00ED3F66" w:rsidRPr="00ED3F66" w:rsidRDefault="00ED3F66" w:rsidP="00ED3F66">
            <w:pPr>
              <w:jc w:val="center"/>
              <w:rPr>
                <w:rFonts w:ascii="Arial" w:hAnsi="Arial" w:cs="Arial"/>
                <w:b/>
                <w:bCs/>
                <w:sz w:val="24"/>
                <w:szCs w:val="24"/>
              </w:rPr>
            </w:pPr>
            <w:r w:rsidRPr="00ED3F66">
              <w:rPr>
                <w:rFonts w:ascii="Arial" w:hAnsi="Arial" w:cs="Arial"/>
                <w:b/>
                <w:bCs/>
                <w:sz w:val="24"/>
                <w:szCs w:val="24"/>
                <w:u w:val="single"/>
              </w:rPr>
              <w:t>Kriminal Na Mga Paratang</w:t>
            </w:r>
          </w:p>
          <w:p w:rsidR="00ED3F66" w:rsidRPr="00ED3F66" w:rsidRDefault="00ED3F66" w:rsidP="00ED3F66">
            <w:pPr>
              <w:rPr>
                <w:rFonts w:ascii="Arial" w:hAnsi="Arial" w:cs="Arial"/>
                <w:sz w:val="24"/>
                <w:szCs w:val="24"/>
              </w:rPr>
            </w:pPr>
            <w:r w:rsidRPr="00ED3F66">
              <w:rPr>
                <w:rFonts w:ascii="Arial" w:hAnsi="Arial" w:cs="Arial"/>
                <w:sz w:val="24"/>
                <w:szCs w:val="24"/>
              </w:rPr>
              <w:t xml:space="preserve">Karamihan sa mga kriminal na paratang sa Pennsylvania ay dapat isampa laban sa suspek sa </w:t>
            </w:r>
            <w:r w:rsidRPr="00ED3F66">
              <w:rPr>
                <w:rFonts w:ascii="Arial" w:hAnsi="Arial" w:cs="Arial"/>
                <w:sz w:val="24"/>
                <w:szCs w:val="24"/>
              </w:rPr>
              <w:lastRenderedPageBreak/>
              <w:t xml:space="preserve">loob ng 2 taon.  Ngunit, ang ilan sa mga sekswal na paratang na krimen ay maaaring isagawa pagkatapos ng mahigit 2 taon ang lumipas.  Ito ay dahil maraming biktima ng pang-aabusong sekswal - lalo na sa mga bata - ay maaaring natatakot mag sumbong kung ano ang nangyari agad pagkatapos ng krimen.  </w:t>
            </w:r>
          </w:p>
          <w:p w:rsidR="00ED3F66" w:rsidRPr="00ED3F66" w:rsidRDefault="00ED3F66" w:rsidP="00ED3F66">
            <w:pPr>
              <w:pStyle w:val="ListParagraph"/>
              <w:numPr>
                <w:ilvl w:val="0"/>
                <w:numId w:val="1"/>
              </w:numPr>
              <w:rPr>
                <w:rFonts w:ascii="Arial" w:hAnsi="Arial" w:cs="Arial"/>
              </w:rPr>
            </w:pPr>
            <w:r w:rsidRPr="00ED3F66">
              <w:rPr>
                <w:rFonts w:ascii="Arial" w:hAnsi="Arial" w:cs="Arial"/>
              </w:rPr>
              <w:t xml:space="preserve">Ang seksuwal </w:t>
            </w:r>
            <w:proofErr w:type="gramStart"/>
            <w:r w:rsidRPr="00ED3F66">
              <w:rPr>
                <w:rFonts w:ascii="Arial" w:hAnsi="Arial" w:cs="Arial"/>
              </w:rPr>
              <w:t>na</w:t>
            </w:r>
            <w:proofErr w:type="gramEnd"/>
            <w:r w:rsidRPr="00ED3F66">
              <w:rPr>
                <w:rFonts w:ascii="Arial" w:hAnsi="Arial" w:cs="Arial"/>
              </w:rPr>
              <w:t xml:space="preserve"> asultong paratang ay maaaring isampa nang hanggang 12 taon pagkatapos ng sekswal na asulto sa isang adulto.</w:t>
            </w:r>
          </w:p>
          <w:p w:rsidR="00D711DF" w:rsidRPr="00ED3F66" w:rsidRDefault="00ED3F66" w:rsidP="00ED3F66">
            <w:pPr>
              <w:pStyle w:val="ListParagraph"/>
              <w:numPr>
                <w:ilvl w:val="0"/>
                <w:numId w:val="1"/>
              </w:numPr>
              <w:rPr>
                <w:rFonts w:ascii="Arial" w:hAnsi="Arial" w:cs="Arial"/>
              </w:rPr>
            </w:pPr>
            <w:r w:rsidRPr="00ED3F66">
              <w:rPr>
                <w:rFonts w:ascii="Arial" w:hAnsi="Arial" w:cs="Arial"/>
              </w:rPr>
              <w:t xml:space="preserve">Ang isang tao ay maaaring paratangan ng kriminal </w:t>
            </w:r>
            <w:proofErr w:type="gramStart"/>
            <w:r w:rsidRPr="00ED3F66">
              <w:rPr>
                <w:rFonts w:ascii="Arial" w:hAnsi="Arial" w:cs="Arial"/>
              </w:rPr>
              <w:t>sa</w:t>
            </w:r>
            <w:proofErr w:type="gramEnd"/>
            <w:r w:rsidRPr="00ED3F66">
              <w:rPr>
                <w:rFonts w:ascii="Arial" w:hAnsi="Arial" w:cs="Arial"/>
              </w:rPr>
              <w:t xml:space="preserve"> sekswal na pag-asulto sa bata 12-32 taon pagkatapos mag-18 ang batang iyon.   (Ang eksaktong bilang ng mga taon ay depende </w:t>
            </w:r>
            <w:proofErr w:type="gramStart"/>
            <w:r w:rsidRPr="00ED3F66">
              <w:rPr>
                <w:rFonts w:ascii="Arial" w:hAnsi="Arial" w:cs="Arial"/>
              </w:rPr>
              <w:t>kung</w:t>
            </w:r>
            <w:proofErr w:type="gramEnd"/>
            <w:r w:rsidRPr="00ED3F66">
              <w:rPr>
                <w:rFonts w:ascii="Arial" w:hAnsi="Arial" w:cs="Arial"/>
              </w:rPr>
              <w:t xml:space="preserve"> ang bata ay isinilang bago o pagkatapos ng Agosto 27, 2002, kapag ang kasalukuyang batas ay nagkaroon ng bisa.)</w:t>
            </w:r>
          </w:p>
        </w:tc>
        <w:tc>
          <w:tcPr>
            <w:tcW w:w="5130" w:type="dxa"/>
          </w:tcPr>
          <w:p w:rsidR="00D711DF" w:rsidRPr="00AE5507" w:rsidRDefault="00D711DF" w:rsidP="00AE5507">
            <w:pPr>
              <w:jc w:val="center"/>
              <w:rPr>
                <w:rFonts w:ascii="Arial" w:hAnsi="Arial" w:cs="Arial"/>
                <w:b/>
                <w:bCs/>
                <w:sz w:val="24"/>
                <w:szCs w:val="24"/>
                <w:lang w:val="en"/>
              </w:rPr>
            </w:pPr>
            <w:r w:rsidRPr="00AE5507">
              <w:rPr>
                <w:rFonts w:ascii="Arial" w:hAnsi="Arial" w:cs="Arial"/>
                <w:b/>
                <w:bCs/>
                <w:sz w:val="24"/>
                <w:szCs w:val="24"/>
                <w:u w:val="single"/>
                <w:lang w:val="en"/>
              </w:rPr>
              <w:lastRenderedPageBreak/>
              <w:t>Sex Crimes</w:t>
            </w:r>
          </w:p>
          <w:p w:rsidR="00AE5507" w:rsidRDefault="00AE5507" w:rsidP="00112B77">
            <w:pPr>
              <w:rPr>
                <w:rFonts w:ascii="Arial" w:hAnsi="Arial" w:cs="Arial"/>
                <w:sz w:val="24"/>
                <w:szCs w:val="24"/>
                <w:lang w:val="en"/>
              </w:rPr>
            </w:pPr>
          </w:p>
          <w:p w:rsidR="00D711DF" w:rsidRPr="00ED3F66" w:rsidRDefault="00D711DF" w:rsidP="00112B77">
            <w:pPr>
              <w:rPr>
                <w:rFonts w:ascii="Arial" w:hAnsi="Arial" w:cs="Arial"/>
                <w:lang w:val="en"/>
              </w:rPr>
            </w:pPr>
            <w:r w:rsidRPr="00ED3F66">
              <w:rPr>
                <w:rFonts w:ascii="Arial" w:hAnsi="Arial" w:cs="Arial"/>
                <w:lang w:val="en"/>
              </w:rPr>
              <w:t>Pennsylvania law recognizes a variety of sex crimes.  Some sex crimes involve the penetration of a person’s body.  Others do not.</w:t>
            </w:r>
          </w:p>
          <w:p w:rsidR="00D711DF" w:rsidRDefault="00D711DF" w:rsidP="00112B77">
            <w:pPr>
              <w:rPr>
                <w:rFonts w:ascii="Arial" w:hAnsi="Arial" w:cs="Arial"/>
                <w:lang w:val="en"/>
              </w:rPr>
            </w:pPr>
          </w:p>
          <w:p w:rsidR="00ED3F66" w:rsidRPr="00ED3F66" w:rsidRDefault="00ED3F66" w:rsidP="00112B77">
            <w:pPr>
              <w:rPr>
                <w:rFonts w:ascii="Arial" w:hAnsi="Arial" w:cs="Arial"/>
                <w:lang w:val="en"/>
              </w:rPr>
            </w:pPr>
          </w:p>
          <w:p w:rsidR="00D711DF" w:rsidRPr="00ED3F66" w:rsidRDefault="00D711DF" w:rsidP="00AE5507">
            <w:pPr>
              <w:ind w:right="-472"/>
              <w:rPr>
                <w:rFonts w:ascii="Arial" w:hAnsi="Arial" w:cs="Arial"/>
                <w:lang w:val="en"/>
              </w:rPr>
            </w:pPr>
            <w:r w:rsidRPr="00ED3F66">
              <w:rPr>
                <w:rFonts w:ascii="Arial" w:hAnsi="Arial" w:cs="Arial"/>
                <w:lang w:val="en"/>
              </w:rPr>
              <w:t>Pennsylvania law prohibits incest.  Incest occurs when a person knowingly marries, lives as a sexual partner, or has sexual intercourse with one of the following:</w:t>
            </w:r>
          </w:p>
          <w:p w:rsidR="00D711DF" w:rsidRPr="00ED3F66" w:rsidRDefault="00D711DF" w:rsidP="00112B77">
            <w:pPr>
              <w:pStyle w:val="ListParagraph"/>
              <w:numPr>
                <w:ilvl w:val="0"/>
                <w:numId w:val="7"/>
              </w:numPr>
              <w:ind w:left="165" w:hanging="165"/>
              <w:rPr>
                <w:rFonts w:ascii="Arial" w:hAnsi="Arial" w:cs="Arial"/>
                <w:sz w:val="22"/>
                <w:szCs w:val="22"/>
                <w:lang w:val="en"/>
              </w:rPr>
            </w:pPr>
            <w:r w:rsidRPr="00ED3F66">
              <w:rPr>
                <w:rFonts w:ascii="Arial" w:hAnsi="Arial" w:cs="Arial"/>
                <w:sz w:val="22"/>
                <w:szCs w:val="22"/>
                <w:lang w:val="en"/>
              </w:rPr>
              <w:t>Ancestor (e.g., parent, grandparent)</w:t>
            </w:r>
          </w:p>
          <w:p w:rsidR="00D711DF" w:rsidRPr="00ED3F66" w:rsidRDefault="00D711DF" w:rsidP="00112B77">
            <w:pPr>
              <w:pStyle w:val="ListParagraph"/>
              <w:numPr>
                <w:ilvl w:val="0"/>
                <w:numId w:val="7"/>
              </w:numPr>
              <w:ind w:left="165" w:hanging="165"/>
              <w:rPr>
                <w:rFonts w:ascii="Arial" w:hAnsi="Arial" w:cs="Arial"/>
                <w:sz w:val="22"/>
                <w:szCs w:val="22"/>
                <w:lang w:val="en"/>
              </w:rPr>
            </w:pPr>
            <w:r w:rsidRPr="00ED3F66">
              <w:rPr>
                <w:rFonts w:ascii="Arial" w:hAnsi="Arial" w:cs="Arial"/>
                <w:sz w:val="22"/>
                <w:szCs w:val="22"/>
                <w:lang w:val="en"/>
              </w:rPr>
              <w:t>Descendant (e.g., child, grandchild)</w:t>
            </w:r>
          </w:p>
          <w:p w:rsidR="00D711DF" w:rsidRPr="00ED3F66" w:rsidRDefault="00D711DF" w:rsidP="00112B77">
            <w:pPr>
              <w:pStyle w:val="ListParagraph"/>
              <w:numPr>
                <w:ilvl w:val="0"/>
                <w:numId w:val="7"/>
              </w:numPr>
              <w:ind w:left="165" w:hanging="165"/>
              <w:rPr>
                <w:rFonts w:ascii="Arial" w:hAnsi="Arial" w:cs="Arial"/>
                <w:sz w:val="22"/>
                <w:szCs w:val="22"/>
                <w:lang w:val="en"/>
              </w:rPr>
            </w:pPr>
            <w:r w:rsidRPr="00ED3F66">
              <w:rPr>
                <w:rFonts w:ascii="Arial" w:hAnsi="Arial" w:cs="Arial"/>
                <w:sz w:val="22"/>
                <w:szCs w:val="22"/>
                <w:lang w:val="en"/>
              </w:rPr>
              <w:t>Whole-blood sibling (i.e. same parents) or half-blood sibling (i.e., one parent the same)</w:t>
            </w:r>
          </w:p>
          <w:p w:rsidR="00D711DF" w:rsidRPr="00ED3F66" w:rsidRDefault="00D711DF" w:rsidP="00112B77">
            <w:pPr>
              <w:pStyle w:val="ListParagraph"/>
              <w:numPr>
                <w:ilvl w:val="0"/>
                <w:numId w:val="7"/>
              </w:numPr>
              <w:ind w:left="165" w:hanging="165"/>
              <w:rPr>
                <w:rFonts w:ascii="Arial" w:hAnsi="Arial" w:cs="Arial"/>
                <w:sz w:val="22"/>
                <w:szCs w:val="22"/>
                <w:lang w:val="en"/>
              </w:rPr>
            </w:pPr>
            <w:r w:rsidRPr="00ED3F66">
              <w:rPr>
                <w:rFonts w:ascii="Arial" w:hAnsi="Arial" w:cs="Arial"/>
                <w:sz w:val="22"/>
                <w:szCs w:val="22"/>
                <w:lang w:val="en"/>
              </w:rPr>
              <w:t>Whole-blood uncle, aunt, nephew or niece</w:t>
            </w:r>
          </w:p>
          <w:p w:rsidR="00D711DF" w:rsidRPr="00ED3F66" w:rsidRDefault="00D711DF" w:rsidP="00112B77">
            <w:pPr>
              <w:rPr>
                <w:rFonts w:ascii="Arial" w:hAnsi="Arial" w:cs="Arial"/>
                <w:lang w:val="en"/>
              </w:rPr>
            </w:pPr>
          </w:p>
          <w:p w:rsidR="00ED3F66" w:rsidRDefault="00ED3F66" w:rsidP="00112B77">
            <w:pPr>
              <w:rPr>
                <w:rFonts w:ascii="Arial" w:hAnsi="Arial" w:cs="Arial"/>
                <w:lang w:val="en"/>
              </w:rPr>
            </w:pPr>
          </w:p>
          <w:p w:rsidR="00ED3F66" w:rsidRDefault="00ED3F66" w:rsidP="00112B77">
            <w:pPr>
              <w:rPr>
                <w:rFonts w:ascii="Arial" w:hAnsi="Arial" w:cs="Arial"/>
                <w:lang w:val="en"/>
              </w:rPr>
            </w:pPr>
          </w:p>
          <w:p w:rsidR="00ED3F66" w:rsidRDefault="00ED3F66" w:rsidP="00112B77">
            <w:pPr>
              <w:rPr>
                <w:rFonts w:ascii="Arial" w:hAnsi="Arial" w:cs="Arial"/>
                <w:lang w:val="en"/>
              </w:rPr>
            </w:pPr>
          </w:p>
          <w:p w:rsidR="00ED3F66" w:rsidRDefault="00ED3F66" w:rsidP="00112B77">
            <w:pPr>
              <w:rPr>
                <w:rFonts w:ascii="Arial" w:hAnsi="Arial" w:cs="Arial"/>
                <w:lang w:val="en"/>
              </w:rPr>
            </w:pPr>
          </w:p>
          <w:p w:rsidR="00ED3F66" w:rsidRDefault="00ED3F66" w:rsidP="00112B77">
            <w:pPr>
              <w:rPr>
                <w:rFonts w:ascii="Arial" w:hAnsi="Arial" w:cs="Arial"/>
                <w:lang w:val="en"/>
              </w:rPr>
            </w:pPr>
          </w:p>
          <w:p w:rsidR="00D711DF" w:rsidRPr="00ED3F66" w:rsidRDefault="00D711DF" w:rsidP="00112B77">
            <w:pPr>
              <w:rPr>
                <w:rFonts w:ascii="Arial" w:hAnsi="Arial" w:cs="Arial"/>
                <w:lang w:val="en"/>
              </w:rPr>
            </w:pPr>
            <w:r w:rsidRPr="00ED3F66">
              <w:rPr>
                <w:rFonts w:ascii="Arial" w:hAnsi="Arial" w:cs="Arial"/>
                <w:lang w:val="en"/>
              </w:rPr>
              <w:t xml:space="preserve">It is also illegal to distribute pictures or videos that show a person partly undressed, nude, or engaging in sexual behavior if: </w:t>
            </w:r>
          </w:p>
          <w:p w:rsidR="00D711DF" w:rsidRPr="00ED3F66" w:rsidRDefault="00D711DF" w:rsidP="00112B77">
            <w:pPr>
              <w:pStyle w:val="ListParagraph"/>
              <w:numPr>
                <w:ilvl w:val="0"/>
                <w:numId w:val="8"/>
              </w:numPr>
              <w:ind w:left="165" w:hanging="180"/>
              <w:rPr>
                <w:rFonts w:ascii="Arial" w:hAnsi="Arial" w:cs="Arial"/>
                <w:sz w:val="22"/>
                <w:szCs w:val="22"/>
                <w:lang w:val="en"/>
              </w:rPr>
            </w:pPr>
            <w:r w:rsidRPr="00ED3F66">
              <w:rPr>
                <w:rFonts w:ascii="Arial" w:hAnsi="Arial" w:cs="Arial"/>
                <w:sz w:val="22"/>
                <w:szCs w:val="22"/>
                <w:lang w:val="en"/>
              </w:rPr>
              <w:t xml:space="preserve">It </w:t>
            </w:r>
            <w:proofErr w:type="gramStart"/>
            <w:r w:rsidRPr="00ED3F66">
              <w:rPr>
                <w:rFonts w:ascii="Arial" w:hAnsi="Arial" w:cs="Arial"/>
                <w:sz w:val="22"/>
                <w:szCs w:val="22"/>
                <w:lang w:val="en"/>
              </w:rPr>
              <w:t>was taken</w:t>
            </w:r>
            <w:proofErr w:type="gramEnd"/>
            <w:r w:rsidRPr="00ED3F66">
              <w:rPr>
                <w:rFonts w:ascii="Arial" w:hAnsi="Arial" w:cs="Arial"/>
                <w:sz w:val="22"/>
                <w:szCs w:val="22"/>
                <w:lang w:val="en"/>
              </w:rPr>
              <w:t xml:space="preserve"> without the person’s permission.</w:t>
            </w:r>
          </w:p>
          <w:p w:rsidR="00D711DF" w:rsidRPr="00ED3F66" w:rsidRDefault="00D711DF" w:rsidP="00112B77">
            <w:pPr>
              <w:pStyle w:val="ListParagraph"/>
              <w:numPr>
                <w:ilvl w:val="0"/>
                <w:numId w:val="8"/>
              </w:numPr>
              <w:ind w:left="165" w:hanging="180"/>
              <w:rPr>
                <w:rFonts w:ascii="Arial" w:hAnsi="Arial" w:cs="Arial"/>
                <w:sz w:val="22"/>
                <w:szCs w:val="22"/>
                <w:lang w:val="en"/>
              </w:rPr>
            </w:pPr>
            <w:r w:rsidRPr="00ED3F66">
              <w:rPr>
                <w:rFonts w:ascii="Arial" w:hAnsi="Arial" w:cs="Arial"/>
                <w:sz w:val="22"/>
                <w:szCs w:val="22"/>
                <w:lang w:val="en"/>
              </w:rPr>
              <w:t xml:space="preserve">The person did not </w:t>
            </w:r>
            <w:bookmarkStart w:id="0" w:name="_GoBack"/>
            <w:bookmarkEnd w:id="0"/>
            <w:r w:rsidRPr="00ED3F66">
              <w:rPr>
                <w:rFonts w:ascii="Arial" w:hAnsi="Arial" w:cs="Arial"/>
                <w:sz w:val="22"/>
                <w:szCs w:val="22"/>
                <w:lang w:val="en"/>
              </w:rPr>
              <w:t>consent to its distribution.</w:t>
            </w:r>
          </w:p>
          <w:p w:rsidR="00D711DF" w:rsidRPr="00ED3F66" w:rsidRDefault="00D711DF" w:rsidP="00112B77">
            <w:pPr>
              <w:pStyle w:val="ListParagraph"/>
              <w:numPr>
                <w:ilvl w:val="0"/>
                <w:numId w:val="8"/>
              </w:numPr>
              <w:ind w:left="165" w:hanging="180"/>
              <w:rPr>
                <w:rFonts w:ascii="Arial" w:hAnsi="Arial" w:cs="Arial"/>
                <w:sz w:val="22"/>
                <w:szCs w:val="22"/>
                <w:lang w:val="en"/>
              </w:rPr>
            </w:pPr>
            <w:r w:rsidRPr="00ED3F66">
              <w:rPr>
                <w:rFonts w:ascii="Arial" w:hAnsi="Arial" w:cs="Arial"/>
                <w:sz w:val="22"/>
                <w:szCs w:val="22"/>
                <w:lang w:val="en"/>
              </w:rPr>
              <w:t xml:space="preserve">It </w:t>
            </w:r>
            <w:proofErr w:type="gramStart"/>
            <w:r w:rsidRPr="00ED3F66">
              <w:rPr>
                <w:rFonts w:ascii="Arial" w:hAnsi="Arial" w:cs="Arial"/>
                <w:sz w:val="22"/>
                <w:szCs w:val="22"/>
                <w:lang w:val="en"/>
              </w:rPr>
              <w:t>was distributed</w:t>
            </w:r>
            <w:proofErr w:type="gramEnd"/>
            <w:r w:rsidRPr="00ED3F66">
              <w:rPr>
                <w:rFonts w:ascii="Arial" w:hAnsi="Arial" w:cs="Arial"/>
                <w:sz w:val="22"/>
                <w:szCs w:val="22"/>
                <w:lang w:val="en"/>
              </w:rPr>
              <w:t xml:space="preserve"> to harass or upset the person.</w:t>
            </w:r>
          </w:p>
          <w:p w:rsidR="00D711DF" w:rsidRPr="00ED3F66" w:rsidRDefault="00D711DF" w:rsidP="00112B77">
            <w:pPr>
              <w:pStyle w:val="ListParagraph"/>
              <w:numPr>
                <w:ilvl w:val="0"/>
                <w:numId w:val="8"/>
              </w:numPr>
              <w:ind w:left="165" w:hanging="180"/>
              <w:rPr>
                <w:rFonts w:ascii="Arial" w:hAnsi="Arial" w:cs="Arial"/>
                <w:sz w:val="22"/>
                <w:szCs w:val="22"/>
                <w:lang w:val="en"/>
              </w:rPr>
            </w:pPr>
            <w:r w:rsidRPr="00ED3F66">
              <w:rPr>
                <w:rFonts w:ascii="Arial" w:hAnsi="Arial" w:cs="Arial"/>
                <w:sz w:val="22"/>
                <w:szCs w:val="22"/>
                <w:lang w:val="en"/>
              </w:rPr>
              <w:t>The person is a minor (i.e., less than 18 years old).</w:t>
            </w:r>
          </w:p>
          <w:p w:rsidR="00D711DF" w:rsidRPr="00ED3F66" w:rsidRDefault="00D711DF" w:rsidP="00112B77">
            <w:pPr>
              <w:rPr>
                <w:rFonts w:ascii="Arial" w:hAnsi="Arial" w:cs="Arial"/>
                <w:lang w:val="en"/>
              </w:rPr>
            </w:pPr>
          </w:p>
          <w:p w:rsidR="00AE5507" w:rsidRDefault="00AE5507" w:rsidP="00112B77">
            <w:pPr>
              <w:rPr>
                <w:rFonts w:ascii="Arial" w:hAnsi="Arial" w:cs="Arial"/>
                <w:lang w:val="en"/>
              </w:rPr>
            </w:pPr>
          </w:p>
          <w:p w:rsidR="00ED3F66" w:rsidRDefault="00ED3F66" w:rsidP="00112B77">
            <w:pPr>
              <w:rPr>
                <w:rFonts w:ascii="Arial" w:hAnsi="Arial" w:cs="Arial"/>
                <w:lang w:val="en"/>
              </w:rPr>
            </w:pPr>
          </w:p>
          <w:p w:rsidR="00ED3F66" w:rsidRDefault="00ED3F66" w:rsidP="00112B77">
            <w:pPr>
              <w:rPr>
                <w:rFonts w:ascii="Arial" w:hAnsi="Arial" w:cs="Arial"/>
                <w:lang w:val="en"/>
              </w:rPr>
            </w:pPr>
          </w:p>
          <w:p w:rsidR="00ED3F66" w:rsidRPr="00ED3F66" w:rsidRDefault="00ED3F66" w:rsidP="00112B77">
            <w:pPr>
              <w:rPr>
                <w:rFonts w:ascii="Arial" w:hAnsi="Arial" w:cs="Arial"/>
                <w:lang w:val="en"/>
              </w:rPr>
            </w:pPr>
          </w:p>
          <w:p w:rsidR="00D711DF" w:rsidRPr="00ED3F66" w:rsidRDefault="00D711DF" w:rsidP="00112B77">
            <w:pPr>
              <w:rPr>
                <w:rFonts w:ascii="Arial" w:hAnsi="Arial" w:cs="Arial"/>
                <w:lang w:val="en"/>
              </w:rPr>
            </w:pPr>
            <w:r w:rsidRPr="00ED3F66">
              <w:rPr>
                <w:rFonts w:ascii="Arial" w:hAnsi="Arial" w:cs="Arial"/>
                <w:lang w:val="en"/>
              </w:rPr>
              <w:t xml:space="preserve">Adults </w:t>
            </w:r>
            <w:proofErr w:type="gramStart"/>
            <w:r w:rsidRPr="00ED3F66">
              <w:rPr>
                <w:rFonts w:ascii="Arial" w:hAnsi="Arial" w:cs="Arial"/>
                <w:lang w:val="en"/>
              </w:rPr>
              <w:t>are not permitted</w:t>
            </w:r>
            <w:proofErr w:type="gramEnd"/>
            <w:r w:rsidRPr="00ED3F66">
              <w:rPr>
                <w:rFonts w:ascii="Arial" w:hAnsi="Arial" w:cs="Arial"/>
                <w:lang w:val="en"/>
              </w:rPr>
              <w:t xml:space="preserve"> to send sexually explicit messages, pictures, or videos to minors.</w:t>
            </w:r>
          </w:p>
          <w:p w:rsidR="00D711DF" w:rsidRPr="00ED3F66" w:rsidRDefault="00D711DF" w:rsidP="00112B77">
            <w:pPr>
              <w:rPr>
                <w:rFonts w:ascii="Arial" w:hAnsi="Arial" w:cs="Arial"/>
                <w:lang w:val="en"/>
              </w:rPr>
            </w:pPr>
          </w:p>
          <w:p w:rsidR="00ED3F66" w:rsidRDefault="00ED3F66" w:rsidP="00112B77">
            <w:pPr>
              <w:rPr>
                <w:rFonts w:ascii="Arial" w:hAnsi="Arial" w:cs="Arial"/>
                <w:lang w:val="en"/>
              </w:rPr>
            </w:pPr>
          </w:p>
          <w:p w:rsidR="00D711DF" w:rsidRPr="00ED3F66" w:rsidRDefault="00D711DF" w:rsidP="00112B77">
            <w:pPr>
              <w:rPr>
                <w:rFonts w:ascii="Arial" w:hAnsi="Arial" w:cs="Arial"/>
                <w:lang w:val="en"/>
              </w:rPr>
            </w:pPr>
            <w:r w:rsidRPr="00ED3F66">
              <w:rPr>
                <w:rFonts w:ascii="Arial" w:hAnsi="Arial" w:cs="Arial"/>
                <w:lang w:val="en"/>
              </w:rPr>
              <w:t>It is also illegal for minors to take or keep nude or sexual “selfies” – pictures or videos they willingly made of themselves – or that they allowed someone else to take.</w:t>
            </w:r>
          </w:p>
          <w:p w:rsidR="00AE5507" w:rsidRDefault="00AE5507" w:rsidP="00112B77">
            <w:pPr>
              <w:rPr>
                <w:rFonts w:ascii="Arial" w:hAnsi="Arial" w:cs="Arial"/>
                <w:sz w:val="24"/>
                <w:szCs w:val="24"/>
                <w:lang w:val="en"/>
              </w:rPr>
            </w:pPr>
          </w:p>
          <w:p w:rsidR="00AE5507" w:rsidRDefault="00AE5507" w:rsidP="00112B77">
            <w:pPr>
              <w:rPr>
                <w:rFonts w:ascii="Arial" w:hAnsi="Arial" w:cs="Arial"/>
                <w:sz w:val="24"/>
                <w:szCs w:val="24"/>
                <w:lang w:val="en"/>
              </w:rPr>
            </w:pPr>
          </w:p>
          <w:p w:rsidR="00ED3F66" w:rsidRDefault="00ED3F66" w:rsidP="00AE5507">
            <w:pPr>
              <w:rPr>
                <w:rFonts w:ascii="Arial" w:hAnsi="Arial" w:cs="Arial"/>
                <w:b/>
                <w:bCs/>
                <w:sz w:val="24"/>
                <w:szCs w:val="24"/>
                <w:u w:val="single"/>
                <w:lang w:val="en"/>
              </w:rPr>
            </w:pPr>
          </w:p>
          <w:p w:rsidR="00AE5507" w:rsidRPr="00AE5507" w:rsidRDefault="00AE5507" w:rsidP="00AE5507">
            <w:pPr>
              <w:rPr>
                <w:rFonts w:ascii="Arial" w:hAnsi="Arial" w:cs="Arial"/>
                <w:b/>
                <w:bCs/>
                <w:sz w:val="24"/>
                <w:szCs w:val="24"/>
                <w:lang w:val="en"/>
              </w:rPr>
            </w:pPr>
            <w:r w:rsidRPr="00AE5507">
              <w:rPr>
                <w:rFonts w:ascii="Arial" w:hAnsi="Arial" w:cs="Arial"/>
                <w:b/>
                <w:bCs/>
                <w:sz w:val="24"/>
                <w:szCs w:val="24"/>
                <w:u w:val="single"/>
                <w:lang w:val="en"/>
              </w:rPr>
              <w:t>Criminal Charges</w:t>
            </w:r>
          </w:p>
          <w:p w:rsidR="00AE5507" w:rsidRDefault="00AE5507" w:rsidP="00AE5507">
            <w:pPr>
              <w:rPr>
                <w:rFonts w:ascii="Arial" w:hAnsi="Arial" w:cs="Arial"/>
                <w:sz w:val="24"/>
                <w:szCs w:val="24"/>
                <w:lang w:val="en"/>
              </w:rPr>
            </w:pPr>
            <w:r w:rsidRPr="00AE5507">
              <w:rPr>
                <w:rFonts w:ascii="Arial" w:hAnsi="Arial" w:cs="Arial"/>
                <w:sz w:val="24"/>
                <w:szCs w:val="24"/>
                <w:lang w:val="en"/>
              </w:rPr>
              <w:t xml:space="preserve">Most criminal charges in Pennsylvania </w:t>
            </w:r>
            <w:proofErr w:type="gramStart"/>
            <w:r w:rsidRPr="00AE5507">
              <w:rPr>
                <w:rFonts w:ascii="Arial" w:hAnsi="Arial" w:cs="Arial"/>
                <w:sz w:val="24"/>
                <w:szCs w:val="24"/>
                <w:lang w:val="en"/>
              </w:rPr>
              <w:t>must be brought</w:t>
            </w:r>
            <w:proofErr w:type="gramEnd"/>
            <w:r w:rsidRPr="00AE5507">
              <w:rPr>
                <w:rFonts w:ascii="Arial" w:hAnsi="Arial" w:cs="Arial"/>
                <w:sz w:val="24"/>
                <w:szCs w:val="24"/>
                <w:lang w:val="en"/>
              </w:rPr>
              <w:t xml:space="preserve"> against a suspect within 2 years.  </w:t>
            </w:r>
            <w:proofErr w:type="gramStart"/>
            <w:r w:rsidRPr="00AE5507">
              <w:rPr>
                <w:rFonts w:ascii="Arial" w:hAnsi="Arial" w:cs="Arial"/>
                <w:sz w:val="24"/>
                <w:szCs w:val="24"/>
                <w:lang w:val="en"/>
              </w:rPr>
              <w:lastRenderedPageBreak/>
              <w:t>But</w:t>
            </w:r>
            <w:proofErr w:type="gramEnd"/>
            <w:r w:rsidRPr="00AE5507">
              <w:rPr>
                <w:rFonts w:ascii="Arial" w:hAnsi="Arial" w:cs="Arial"/>
                <w:sz w:val="24"/>
                <w:szCs w:val="24"/>
                <w:lang w:val="en"/>
              </w:rPr>
              <w:t xml:space="preserve">, some sex crime charges may be made after more than 2 years has passed.  This is because many sexual abuse victims – especially children – may be afraid to report what happened soon after the crime.  </w:t>
            </w:r>
          </w:p>
          <w:p w:rsidR="00AE5507" w:rsidRDefault="00AE5507" w:rsidP="00AE5507">
            <w:pPr>
              <w:rPr>
                <w:rFonts w:ascii="Arial" w:hAnsi="Arial" w:cs="Arial"/>
                <w:sz w:val="24"/>
                <w:szCs w:val="24"/>
                <w:lang w:val="en"/>
              </w:rPr>
            </w:pPr>
          </w:p>
          <w:p w:rsidR="00AE5507" w:rsidRPr="00AE5507" w:rsidRDefault="00AE5507" w:rsidP="00AE5507">
            <w:pPr>
              <w:rPr>
                <w:rFonts w:ascii="Arial" w:hAnsi="Arial" w:cs="Arial"/>
                <w:sz w:val="24"/>
                <w:szCs w:val="24"/>
                <w:lang w:val="en"/>
              </w:rPr>
            </w:pPr>
          </w:p>
          <w:p w:rsidR="00AE5507" w:rsidRPr="00AE5507" w:rsidRDefault="00AE5507" w:rsidP="00AE5507">
            <w:pPr>
              <w:pStyle w:val="ListParagraph"/>
              <w:numPr>
                <w:ilvl w:val="0"/>
                <w:numId w:val="1"/>
              </w:numPr>
              <w:rPr>
                <w:rFonts w:ascii="Arial" w:hAnsi="Arial" w:cs="Arial"/>
                <w:lang w:val="en"/>
              </w:rPr>
            </w:pPr>
            <w:r w:rsidRPr="00AE5507">
              <w:rPr>
                <w:rFonts w:ascii="Arial" w:hAnsi="Arial" w:cs="Arial"/>
                <w:lang w:val="en"/>
              </w:rPr>
              <w:t xml:space="preserve">Sexual assault charges </w:t>
            </w:r>
            <w:proofErr w:type="gramStart"/>
            <w:r w:rsidRPr="00AE5507">
              <w:rPr>
                <w:rFonts w:ascii="Arial" w:hAnsi="Arial" w:cs="Arial"/>
                <w:lang w:val="en"/>
              </w:rPr>
              <w:t>can be filed</w:t>
            </w:r>
            <w:proofErr w:type="gramEnd"/>
            <w:r w:rsidRPr="00AE5507">
              <w:rPr>
                <w:rFonts w:ascii="Arial" w:hAnsi="Arial" w:cs="Arial"/>
                <w:lang w:val="en"/>
              </w:rPr>
              <w:t xml:space="preserve"> for up to 12 years after the sexual assault of an adult.</w:t>
            </w:r>
          </w:p>
          <w:p w:rsidR="00D711DF" w:rsidRPr="00AE5507" w:rsidRDefault="00AE5507" w:rsidP="00112B77">
            <w:pPr>
              <w:pStyle w:val="ListParagraph"/>
              <w:numPr>
                <w:ilvl w:val="0"/>
                <w:numId w:val="1"/>
              </w:numPr>
              <w:rPr>
                <w:rFonts w:ascii="Arial" w:hAnsi="Arial" w:cs="Arial"/>
                <w:lang w:val="en"/>
              </w:rPr>
            </w:pPr>
            <w:r w:rsidRPr="00AE5507">
              <w:rPr>
                <w:rFonts w:ascii="Arial" w:hAnsi="Arial" w:cs="Arial"/>
                <w:lang w:val="en"/>
              </w:rPr>
              <w:t xml:space="preserve">Someone </w:t>
            </w:r>
            <w:proofErr w:type="gramStart"/>
            <w:r w:rsidRPr="00AE5507">
              <w:rPr>
                <w:rFonts w:ascii="Arial" w:hAnsi="Arial" w:cs="Arial"/>
                <w:lang w:val="en"/>
              </w:rPr>
              <w:t>can be criminally charged</w:t>
            </w:r>
            <w:proofErr w:type="gramEnd"/>
            <w:r w:rsidRPr="00AE5507">
              <w:rPr>
                <w:rFonts w:ascii="Arial" w:hAnsi="Arial" w:cs="Arial"/>
                <w:lang w:val="en"/>
              </w:rPr>
              <w:t xml:space="preserve"> with sexually assaulting a child 12-32 years after that child turns 18.   (The exact number of years depends on whether the child was born before or after August 27, 2002, when the current law went into effect.</w:t>
            </w:r>
          </w:p>
          <w:p w:rsidR="00AE5507" w:rsidRPr="00AE5507" w:rsidRDefault="00AE5507" w:rsidP="00112B77">
            <w:pPr>
              <w:rPr>
                <w:rFonts w:ascii="Arial" w:hAnsi="Arial" w:cs="Arial"/>
                <w:sz w:val="24"/>
                <w:szCs w:val="24"/>
                <w:lang w:val="en"/>
              </w:rPr>
            </w:pPr>
          </w:p>
          <w:p w:rsidR="00AE5507" w:rsidRPr="00AE5507" w:rsidRDefault="00AE5507" w:rsidP="00112B77">
            <w:pPr>
              <w:rPr>
                <w:rFonts w:ascii="Arial" w:hAnsi="Arial" w:cs="Arial"/>
                <w:sz w:val="24"/>
                <w:szCs w:val="24"/>
                <w:lang w:val="en"/>
              </w:rPr>
            </w:pPr>
          </w:p>
        </w:tc>
      </w:tr>
    </w:tbl>
    <w:p w:rsidR="00C1375C" w:rsidRPr="007C1E21" w:rsidRDefault="00C1375C" w:rsidP="00D711DF">
      <w:pPr>
        <w:tabs>
          <w:tab w:val="left" w:pos="4860"/>
          <w:tab w:val="left" w:pos="5490"/>
          <w:tab w:val="left" w:pos="7380"/>
        </w:tabs>
        <w:spacing w:after="0" w:line="240" w:lineRule="auto"/>
        <w:rPr>
          <w:rFonts w:ascii="Arial" w:hAnsi="Arial" w:cs="Arial"/>
        </w:rPr>
      </w:pPr>
    </w:p>
    <w:sectPr w:rsidR="00C1375C" w:rsidRPr="007C1E21" w:rsidSect="00A57B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56769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-95885</wp:posOffset>
              </wp:positionH>
              <wp:positionV relativeFrom="paragraph">
                <wp:posOffset>102870</wp:posOffset>
              </wp:positionV>
              <wp:extent cx="1215390" cy="429895"/>
              <wp:effectExtent l="0" t="0" r="3810" b="8255"/>
              <wp:wrapTight wrapText="bothSides">
                <wp:wrapPolygon edited="0">
                  <wp:start x="0" y="0"/>
                  <wp:lineTo x="0" y="21058"/>
                  <wp:lineTo x="21329" y="21058"/>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215390" cy="42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7" w15:restartNumberingAfterBreak="0">
    <w:nsid w:val="6BFC7364"/>
    <w:multiLevelType w:val="hybridMultilevel"/>
    <w:tmpl w:val="0EF40D78"/>
    <w:lvl w:ilvl="0" w:tplc="8626C280">
      <w:start w:val="3"/>
      <w:numFmt w:val="bullet"/>
      <w:lvlText w:val=""/>
      <w:lvlJc w:val="left"/>
      <w:pPr>
        <w:ind w:left="360" w:hanging="360"/>
      </w:pPr>
      <w:rPr>
        <w:rFonts w:ascii="Symbol" w:eastAsiaTheme="minorHAnsi" w:hAnsi="Symbol" w:cs="Times New Roman"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dirty"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12B77"/>
    <w:rsid w:val="001B495D"/>
    <w:rsid w:val="00232FAF"/>
    <w:rsid w:val="002F0011"/>
    <w:rsid w:val="002F6901"/>
    <w:rsid w:val="00351C47"/>
    <w:rsid w:val="00373DF2"/>
    <w:rsid w:val="003A05C3"/>
    <w:rsid w:val="00471698"/>
    <w:rsid w:val="004803C5"/>
    <w:rsid w:val="00553ED6"/>
    <w:rsid w:val="00567690"/>
    <w:rsid w:val="00596BEB"/>
    <w:rsid w:val="00755BEB"/>
    <w:rsid w:val="0076631A"/>
    <w:rsid w:val="007C1E21"/>
    <w:rsid w:val="00950D84"/>
    <w:rsid w:val="00A57BBB"/>
    <w:rsid w:val="00AE5507"/>
    <w:rsid w:val="00B94D49"/>
    <w:rsid w:val="00BB3C2B"/>
    <w:rsid w:val="00C1375C"/>
    <w:rsid w:val="00CE318B"/>
    <w:rsid w:val="00CF4E43"/>
    <w:rsid w:val="00D711DF"/>
    <w:rsid w:val="00E62438"/>
    <w:rsid w:val="00E77323"/>
    <w:rsid w:val="00ED3F66"/>
    <w:rsid w:val="00EE6FAB"/>
    <w:rsid w:val="00F07AD7"/>
    <w:rsid w:val="00F3491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AD1BAC"/>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E6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CA77-9FF2-4422-816B-4332564E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2017-06-07T02:11:00Z</cp:lastPrinted>
  <dcterms:created xsi:type="dcterms:W3CDTF">2017-09-08T19:50:00Z</dcterms:created>
  <dcterms:modified xsi:type="dcterms:W3CDTF">2017-09-08T19:52:00Z</dcterms:modified>
</cp:coreProperties>
</file>